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8C" w:rsidRDefault="00FE718C" w:rsidP="007B476F">
      <w:pPr>
        <w:pStyle w:val="Heading1"/>
        <w:ind w:left="420"/>
        <w:jc w:val="center"/>
        <w:rPr>
          <w:rFonts w:ascii="华文中宋" w:eastAsia="华文中宋" w:hAnsi="华文中宋"/>
          <w:sz w:val="40"/>
          <w:szCs w:val="40"/>
        </w:rPr>
      </w:pPr>
      <w:r w:rsidRPr="002911D0">
        <w:rPr>
          <w:rFonts w:ascii="华文中宋" w:eastAsia="华文中宋" w:hAnsi="华文中宋" w:cs="华文中宋" w:hint="eastAsia"/>
          <w:sz w:val="40"/>
          <w:szCs w:val="40"/>
        </w:rPr>
        <w:t>人民法院委托涉执财产处置司法评估</w:t>
      </w:r>
    </w:p>
    <w:p w:rsidR="00FE718C" w:rsidRPr="002911D0" w:rsidRDefault="00FE718C" w:rsidP="007B476F">
      <w:pPr>
        <w:pStyle w:val="Heading1"/>
        <w:ind w:left="420"/>
        <w:jc w:val="center"/>
        <w:rPr>
          <w:rFonts w:ascii="华文中宋" w:eastAsia="华文中宋" w:hAnsi="华文中宋"/>
          <w:sz w:val="40"/>
          <w:szCs w:val="40"/>
        </w:rPr>
      </w:pPr>
      <w:r w:rsidRPr="002911D0">
        <w:rPr>
          <w:rFonts w:ascii="华文中宋" w:eastAsia="华文中宋" w:hAnsi="华文中宋" w:cs="华文中宋" w:hint="eastAsia"/>
          <w:sz w:val="40"/>
          <w:szCs w:val="40"/>
        </w:rPr>
        <w:t>指导意见</w:t>
      </w:r>
      <w:r w:rsidRPr="002911D0">
        <w:rPr>
          <w:rFonts w:ascii="华文中宋" w:eastAsia="华文中宋" w:hAnsi="华文中宋" w:cs="华文中宋" w:hint="eastAsia"/>
        </w:rPr>
        <w:t>（征求意见稿）</w:t>
      </w:r>
    </w:p>
    <w:p w:rsidR="00FE718C" w:rsidRPr="002911D0" w:rsidRDefault="00FE718C">
      <w:pPr>
        <w:adjustRightInd w:val="0"/>
        <w:snapToGrid w:val="0"/>
        <w:spacing w:line="360" w:lineRule="auto"/>
        <w:jc w:val="center"/>
        <w:rPr>
          <w:rFonts w:ascii="仿宋_GB2312" w:eastAsia="仿宋_GB2312"/>
          <w:sz w:val="32"/>
          <w:szCs w:val="32"/>
        </w:rPr>
      </w:pPr>
      <w:bookmarkStart w:id="0" w:name="_GoBack"/>
      <w:bookmarkEnd w:id="0"/>
    </w:p>
    <w:p w:rsidR="00FE718C" w:rsidRPr="002911D0" w:rsidRDefault="00FE718C">
      <w:pPr>
        <w:adjustRightInd w:val="0"/>
        <w:snapToGrid w:val="0"/>
        <w:spacing w:line="360" w:lineRule="auto"/>
        <w:jc w:val="center"/>
        <w:rPr>
          <w:rFonts w:ascii="仿宋_GB2312" w:eastAsia="仿宋_GB2312"/>
          <w:b/>
          <w:bCs/>
          <w:sz w:val="32"/>
          <w:szCs w:val="32"/>
        </w:rPr>
      </w:pPr>
      <w:r w:rsidRPr="002911D0">
        <w:rPr>
          <w:rFonts w:ascii="仿宋_GB2312" w:eastAsia="仿宋_GB2312" w:cs="仿宋_GB2312" w:hint="eastAsia"/>
          <w:b/>
          <w:bCs/>
          <w:sz w:val="32"/>
          <w:szCs w:val="32"/>
        </w:rPr>
        <w:t>第一章</w:t>
      </w:r>
      <w:r w:rsidRPr="002911D0">
        <w:rPr>
          <w:rFonts w:ascii="仿宋_GB2312" w:eastAsia="仿宋_GB2312"/>
          <w:b/>
          <w:bCs/>
          <w:sz w:val="32"/>
          <w:szCs w:val="32"/>
        </w:rPr>
        <w:tab/>
      </w:r>
      <w:r w:rsidRPr="002911D0">
        <w:rPr>
          <w:rFonts w:ascii="仿宋_GB2312" w:eastAsia="仿宋_GB2312" w:cs="仿宋_GB2312" w:hint="eastAsia"/>
          <w:b/>
          <w:bCs/>
          <w:sz w:val="32"/>
          <w:szCs w:val="32"/>
        </w:rPr>
        <w:t>总则</w:t>
      </w:r>
    </w:p>
    <w:p w:rsidR="00FE718C" w:rsidRPr="00765A44" w:rsidRDefault="00FE718C" w:rsidP="00B91194">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第一条</w:t>
      </w:r>
      <w:r w:rsidRPr="00765A44">
        <w:rPr>
          <w:rFonts w:ascii="仿宋" w:eastAsia="仿宋" w:hAnsi="仿宋" w:cs="仿宋"/>
          <w:sz w:val="32"/>
          <w:szCs w:val="32"/>
        </w:rPr>
        <w:t xml:space="preserve"> </w:t>
      </w:r>
      <w:r w:rsidRPr="00765A44">
        <w:rPr>
          <w:rFonts w:ascii="仿宋" w:eastAsia="仿宋" w:hAnsi="仿宋" w:cs="仿宋" w:hint="eastAsia"/>
          <w:sz w:val="32"/>
          <w:szCs w:val="32"/>
        </w:rPr>
        <w:t>为规范资产评估机构及其资产评估师执行人民法院委托涉执财产处置司法评估业务，根据有关法律、行政法规、《资产评估基本准则》《最高人民法院关于人民法院确定财产处置参考价若干问题的规定》《人民法院委托评估工作规范》等规定制定本指导意见。</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本指导意见所称人民法院委托涉执财产处置司法评估是指资产评估机构及其资产评估师，根据人民法院委托，对为人民法院执行财产处置提供参考价所涉及的财产价值进行评定和估算，并出具资产评估报告的专业服务行为。</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本指导意见所称资产评估报告是为人民法院执行财产处置提供参考价服务的报告，资产评估报告封面应注明“人民法院确定财产处置参考价目的的资产评估报告”。</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第三条</w:t>
      </w:r>
      <w:r w:rsidRPr="00765A44">
        <w:rPr>
          <w:rFonts w:ascii="仿宋" w:eastAsia="仿宋" w:hAnsi="仿宋" w:cs="仿宋"/>
          <w:sz w:val="32"/>
          <w:szCs w:val="32"/>
        </w:rPr>
        <w:t xml:space="preserve"> </w:t>
      </w:r>
      <w:r w:rsidRPr="00765A44">
        <w:rPr>
          <w:rFonts w:ascii="仿宋" w:eastAsia="仿宋" w:hAnsi="仿宋" w:cs="仿宋" w:hint="eastAsia"/>
          <w:sz w:val="32"/>
          <w:szCs w:val="32"/>
        </w:rPr>
        <w:t>资产评估机构及其资产评估师执行人民法院委托涉执财产处置司法评估业务，应当遵守本指导意见。</w:t>
      </w:r>
    </w:p>
    <w:p w:rsidR="00FE718C" w:rsidRPr="002911D0" w:rsidRDefault="00FE718C">
      <w:pPr>
        <w:adjustRightInd w:val="0"/>
        <w:snapToGrid w:val="0"/>
        <w:spacing w:line="360" w:lineRule="auto"/>
        <w:ind w:firstLineChars="200" w:firstLine="640"/>
        <w:rPr>
          <w:rFonts w:ascii="仿宋_GB2312" w:eastAsia="仿宋_GB2312"/>
          <w:sz w:val="32"/>
          <w:szCs w:val="32"/>
        </w:rPr>
      </w:pPr>
    </w:p>
    <w:p w:rsidR="00FE718C" w:rsidRPr="002911D0" w:rsidRDefault="00FE718C" w:rsidP="00380178">
      <w:pPr>
        <w:adjustRightInd w:val="0"/>
        <w:snapToGrid w:val="0"/>
        <w:spacing w:line="360" w:lineRule="auto"/>
        <w:ind w:firstLineChars="200" w:firstLine="643"/>
        <w:jc w:val="center"/>
        <w:rPr>
          <w:rFonts w:ascii="仿宋_GB2312" w:eastAsia="仿宋_GB2312"/>
          <w:b/>
          <w:bCs/>
          <w:sz w:val="32"/>
          <w:szCs w:val="32"/>
        </w:rPr>
      </w:pPr>
      <w:r w:rsidRPr="002911D0">
        <w:rPr>
          <w:rFonts w:ascii="仿宋_GB2312" w:eastAsia="仿宋_GB2312" w:cs="仿宋_GB2312" w:hint="eastAsia"/>
          <w:b/>
          <w:bCs/>
          <w:sz w:val="32"/>
          <w:szCs w:val="32"/>
        </w:rPr>
        <w:t>第二章</w:t>
      </w:r>
      <w:r w:rsidRPr="002911D0">
        <w:rPr>
          <w:rFonts w:ascii="仿宋_GB2312" w:eastAsia="仿宋_GB2312" w:cs="仿宋_GB2312"/>
          <w:b/>
          <w:bCs/>
          <w:sz w:val="32"/>
          <w:szCs w:val="32"/>
        </w:rPr>
        <w:t xml:space="preserve"> </w:t>
      </w:r>
      <w:r w:rsidRPr="002911D0">
        <w:rPr>
          <w:rFonts w:ascii="仿宋_GB2312" w:eastAsia="仿宋_GB2312" w:cs="仿宋_GB2312"/>
          <w:b/>
          <w:bCs/>
          <w:sz w:val="32"/>
          <w:szCs w:val="32"/>
        </w:rPr>
        <w:tab/>
      </w:r>
      <w:r w:rsidRPr="002911D0">
        <w:rPr>
          <w:rFonts w:ascii="仿宋_GB2312" w:eastAsia="仿宋_GB2312" w:cs="仿宋_GB2312" w:hint="eastAsia"/>
          <w:b/>
          <w:bCs/>
          <w:sz w:val="32"/>
          <w:szCs w:val="32"/>
        </w:rPr>
        <w:t>基本遵循</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第四条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遵守法律、行政法规、资产评估准则的规定，坚持独立、客观、公正的原则，诚实守信，勤勉尽责，谨慎从业，遵守职业道德，自觉维护职业形象，不得从事损害职业形象的活动。</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第五条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执行人民法院委托涉执财产处置司法评估业务，应当根据评估目的，结合评估财产的特点，合理使用评估假设和限定条件。</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第六条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执行人民法院委托涉执财产处置司法评估业务，应当根据法律、行政法规、资产评估准则和委托人的要求，对评估过程中接触的任何未公开的信息，承担保密义务。</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第七条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执行人民法院委托涉执财产处置司法评估业务，由于当事人不配合等客观条件限制导致评估程序履行或者评估资料收集受限的，应当在资产评估报告中进行说明。</w:t>
      </w:r>
    </w:p>
    <w:p w:rsidR="00FE718C" w:rsidRPr="002911D0" w:rsidRDefault="00FE718C">
      <w:pPr>
        <w:adjustRightInd w:val="0"/>
        <w:snapToGrid w:val="0"/>
        <w:spacing w:line="360" w:lineRule="auto"/>
        <w:ind w:firstLineChars="200" w:firstLine="640"/>
        <w:rPr>
          <w:rFonts w:ascii="仿宋_GB2312" w:eastAsia="仿宋_GB2312"/>
          <w:sz w:val="32"/>
          <w:szCs w:val="32"/>
        </w:rPr>
      </w:pPr>
    </w:p>
    <w:p w:rsidR="00FE718C" w:rsidRPr="002911D0" w:rsidRDefault="00FE718C" w:rsidP="00380178">
      <w:pPr>
        <w:adjustRightInd w:val="0"/>
        <w:snapToGrid w:val="0"/>
        <w:spacing w:line="360" w:lineRule="auto"/>
        <w:ind w:firstLineChars="200" w:firstLine="643"/>
        <w:jc w:val="center"/>
        <w:rPr>
          <w:rFonts w:ascii="仿宋_GB2312" w:eastAsia="仿宋_GB2312"/>
          <w:b/>
          <w:bCs/>
          <w:sz w:val="32"/>
          <w:szCs w:val="32"/>
        </w:rPr>
      </w:pPr>
      <w:r w:rsidRPr="002911D0">
        <w:rPr>
          <w:rFonts w:ascii="仿宋_GB2312" w:eastAsia="仿宋_GB2312" w:cs="仿宋_GB2312" w:hint="eastAsia"/>
          <w:b/>
          <w:bCs/>
          <w:sz w:val="32"/>
          <w:szCs w:val="32"/>
        </w:rPr>
        <w:t>第三章</w:t>
      </w:r>
      <w:r w:rsidRPr="002911D0">
        <w:rPr>
          <w:rFonts w:ascii="仿宋_GB2312" w:eastAsia="仿宋_GB2312" w:cs="仿宋_GB2312"/>
          <w:b/>
          <w:bCs/>
          <w:sz w:val="32"/>
          <w:szCs w:val="32"/>
        </w:rPr>
        <w:t xml:space="preserve"> </w:t>
      </w:r>
      <w:r w:rsidRPr="002911D0">
        <w:rPr>
          <w:rFonts w:ascii="仿宋_GB2312" w:eastAsia="仿宋_GB2312" w:cs="仿宋_GB2312"/>
          <w:b/>
          <w:bCs/>
          <w:sz w:val="32"/>
          <w:szCs w:val="32"/>
        </w:rPr>
        <w:tab/>
      </w:r>
      <w:r w:rsidRPr="002911D0">
        <w:rPr>
          <w:rFonts w:ascii="仿宋_GB2312" w:eastAsia="仿宋_GB2312" w:cs="仿宋_GB2312" w:hint="eastAsia"/>
          <w:b/>
          <w:bCs/>
          <w:sz w:val="32"/>
          <w:szCs w:val="32"/>
        </w:rPr>
        <w:t>评估委托</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第八条</w:t>
      </w:r>
      <w:r w:rsidRPr="00765A44">
        <w:rPr>
          <w:rFonts w:ascii="仿宋" w:eastAsia="仿宋" w:hAnsi="仿宋" w:cs="仿宋"/>
          <w:sz w:val="32"/>
          <w:szCs w:val="32"/>
        </w:rPr>
        <w:t xml:space="preserve"> </w:t>
      </w:r>
      <w:r>
        <w:rPr>
          <w:rFonts w:ascii="仿宋" w:eastAsia="仿宋" w:hAnsi="仿宋" w:cs="仿宋" w:hint="eastAsia"/>
          <w:sz w:val="32"/>
          <w:szCs w:val="32"/>
        </w:rPr>
        <w:t>资产</w:t>
      </w:r>
      <w:r w:rsidRPr="00765A44">
        <w:rPr>
          <w:rFonts w:ascii="仿宋" w:eastAsia="仿宋" w:hAnsi="仿宋" w:cs="仿宋" w:hint="eastAsia"/>
          <w:sz w:val="32"/>
          <w:szCs w:val="32"/>
        </w:rPr>
        <w:t>评估机构应当及时通过全国法院询价评估系统（以下简称询价评估系统）接收人民法院的评估委托书，并根据评估委托书和财产清单等相关资料明确评估基本事项。</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第九条</w:t>
      </w:r>
      <w:r w:rsidRPr="00765A44">
        <w:rPr>
          <w:rFonts w:ascii="仿宋" w:eastAsia="仿宋" w:hAnsi="仿宋" w:cs="仿宋"/>
          <w:sz w:val="32"/>
          <w:szCs w:val="32"/>
        </w:rPr>
        <w:t xml:space="preserve"> </w:t>
      </w:r>
      <w:r>
        <w:rPr>
          <w:rFonts w:ascii="仿宋" w:eastAsia="仿宋" w:hAnsi="仿宋" w:cs="仿宋" w:hint="eastAsia"/>
          <w:sz w:val="32"/>
          <w:szCs w:val="32"/>
        </w:rPr>
        <w:t>资产</w:t>
      </w:r>
      <w:r w:rsidRPr="00765A44">
        <w:rPr>
          <w:rFonts w:ascii="仿宋" w:eastAsia="仿宋" w:hAnsi="仿宋" w:cs="仿宋" w:hint="eastAsia"/>
          <w:sz w:val="32"/>
          <w:szCs w:val="32"/>
        </w:rPr>
        <w:t>评估机构接收人民法院评估委托书后，认为有下列情形之一的，应当在三个工作日内向人民法院说明情况，提出不承接委托评估申请：</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（一）与当事人或者评估财产有利害关系；</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（二）已办理注销登记或者被市场监管部门吊销营业执照；</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（三）依法不能进行评估的其他情形。</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人民法院认为</w:t>
      </w:r>
      <w:r>
        <w:rPr>
          <w:rFonts w:ascii="仿宋" w:eastAsia="仿宋" w:hAnsi="仿宋" w:cs="仿宋" w:hint="eastAsia"/>
          <w:sz w:val="32"/>
          <w:szCs w:val="32"/>
        </w:rPr>
        <w:t>资产</w:t>
      </w:r>
      <w:r w:rsidRPr="00765A44">
        <w:rPr>
          <w:rFonts w:ascii="仿宋" w:eastAsia="仿宋" w:hAnsi="仿宋" w:cs="仿宋" w:hint="eastAsia"/>
          <w:sz w:val="32"/>
          <w:szCs w:val="32"/>
        </w:rPr>
        <w:t>评估机构申请不承接委托评估的理由不成立的，或者</w:t>
      </w:r>
      <w:r>
        <w:rPr>
          <w:rFonts w:ascii="仿宋" w:eastAsia="仿宋" w:hAnsi="仿宋" w:cs="仿宋" w:hint="eastAsia"/>
          <w:sz w:val="32"/>
          <w:szCs w:val="32"/>
        </w:rPr>
        <w:t>资产</w:t>
      </w:r>
      <w:r w:rsidRPr="00765A44">
        <w:rPr>
          <w:rFonts w:ascii="仿宋" w:eastAsia="仿宋" w:hAnsi="仿宋" w:cs="仿宋" w:hint="eastAsia"/>
          <w:sz w:val="32"/>
          <w:szCs w:val="32"/>
        </w:rPr>
        <w:t>评估机构未在规定期限内向人民法院提出不承接委托评估申请的，视为接受委托。</w:t>
      </w:r>
    </w:p>
    <w:p w:rsidR="00FE718C" w:rsidRPr="00765A44" w:rsidRDefault="00FE718C" w:rsidP="00981D47">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第十条</w:t>
      </w:r>
      <w:r w:rsidRPr="00765A44">
        <w:rPr>
          <w:rFonts w:ascii="仿宋" w:eastAsia="仿宋" w:hAnsi="仿宋" w:cs="仿宋"/>
          <w:sz w:val="32"/>
          <w:szCs w:val="32"/>
        </w:rPr>
        <w:t xml:space="preserve"> </w:t>
      </w:r>
      <w:r w:rsidRPr="00765A44">
        <w:rPr>
          <w:rFonts w:ascii="仿宋" w:eastAsia="仿宋" w:hAnsi="仿宋" w:cs="仿宋" w:hint="eastAsia"/>
          <w:sz w:val="32"/>
          <w:szCs w:val="32"/>
        </w:rPr>
        <w:t>资产评估机构及其资产评估师发现评估基本事项与评估委托书载明的事项存在差异，或者评估委托书遗漏评估基准日等评估基本事项的，应当与人民法院进行沟通，以书面形式对差异事项或者遗漏事项予以明确。人民法院未在三个工作日内予以确认的，资产评估机构及其资产评估师应当根据具体情况独立做出专业判断，并在资产评估报告中进行披露。</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第十一条</w:t>
      </w:r>
      <w:r w:rsidRPr="00765A44">
        <w:rPr>
          <w:rFonts w:ascii="仿宋" w:eastAsia="仿宋" w:hAnsi="仿宋" w:cs="仿宋"/>
          <w:sz w:val="32"/>
          <w:szCs w:val="32"/>
        </w:rPr>
        <w:t xml:space="preserve"> </w:t>
      </w:r>
      <w:r w:rsidRPr="00765A44">
        <w:rPr>
          <w:rFonts w:ascii="仿宋" w:eastAsia="仿宋" w:hAnsi="仿宋" w:cs="仿宋" w:hint="eastAsia"/>
          <w:sz w:val="32"/>
          <w:szCs w:val="32"/>
        </w:rPr>
        <w:t>入选人民法院司法</w:t>
      </w:r>
      <w:r>
        <w:rPr>
          <w:rFonts w:ascii="仿宋" w:eastAsia="仿宋" w:hAnsi="仿宋" w:cs="仿宋" w:hint="eastAsia"/>
          <w:sz w:val="32"/>
          <w:szCs w:val="32"/>
        </w:rPr>
        <w:t>资产</w:t>
      </w:r>
      <w:r w:rsidRPr="00765A44">
        <w:rPr>
          <w:rFonts w:ascii="仿宋" w:eastAsia="仿宋" w:hAnsi="仿宋" w:cs="仿宋" w:hint="eastAsia"/>
          <w:sz w:val="32"/>
          <w:szCs w:val="32"/>
        </w:rPr>
        <w:t>评估机构名单库的</w:t>
      </w:r>
      <w:r>
        <w:rPr>
          <w:rFonts w:ascii="仿宋" w:eastAsia="仿宋" w:hAnsi="仿宋" w:cs="仿宋" w:hint="eastAsia"/>
          <w:sz w:val="32"/>
          <w:szCs w:val="32"/>
        </w:rPr>
        <w:t>资产</w:t>
      </w:r>
      <w:r w:rsidRPr="00765A44">
        <w:rPr>
          <w:rFonts w:ascii="仿宋" w:eastAsia="仿宋" w:hAnsi="仿宋" w:cs="仿宋" w:hint="eastAsia"/>
          <w:sz w:val="32"/>
          <w:szCs w:val="32"/>
        </w:rPr>
        <w:t>评估机构，应当在开展人民法院委托涉执财产处置司法评估业务前，向中国资产评估协会报备相关业务收费标准，并在接受委托后根据报备的收费标准计算预估评估费。</w:t>
      </w:r>
    </w:p>
    <w:p w:rsidR="00FE718C" w:rsidRPr="002911D0" w:rsidRDefault="00FE718C">
      <w:pPr>
        <w:adjustRightInd w:val="0"/>
        <w:snapToGrid w:val="0"/>
        <w:spacing w:line="360" w:lineRule="auto"/>
        <w:ind w:firstLineChars="200" w:firstLine="640"/>
        <w:rPr>
          <w:rFonts w:ascii="仿宋_GB2312" w:eastAsia="仿宋_GB2312"/>
          <w:sz w:val="32"/>
          <w:szCs w:val="32"/>
        </w:rPr>
      </w:pPr>
    </w:p>
    <w:p w:rsidR="00FE718C" w:rsidRPr="002911D0" w:rsidRDefault="00FE718C" w:rsidP="00380178">
      <w:pPr>
        <w:adjustRightInd w:val="0"/>
        <w:snapToGrid w:val="0"/>
        <w:spacing w:line="360" w:lineRule="auto"/>
        <w:ind w:firstLineChars="200" w:firstLine="643"/>
        <w:jc w:val="center"/>
        <w:rPr>
          <w:rFonts w:ascii="仿宋_GB2312" w:eastAsia="仿宋_GB2312"/>
          <w:sz w:val="32"/>
          <w:szCs w:val="32"/>
        </w:rPr>
      </w:pPr>
      <w:r w:rsidRPr="002911D0">
        <w:rPr>
          <w:rFonts w:ascii="仿宋_GB2312" w:eastAsia="仿宋_GB2312" w:cs="仿宋_GB2312" w:hint="eastAsia"/>
          <w:b/>
          <w:bCs/>
          <w:sz w:val="32"/>
          <w:szCs w:val="32"/>
        </w:rPr>
        <w:t>第四章</w:t>
      </w:r>
      <w:r w:rsidRPr="002911D0">
        <w:rPr>
          <w:rFonts w:ascii="仿宋_GB2312" w:eastAsia="仿宋_GB2312" w:cs="仿宋_GB2312"/>
          <w:b/>
          <w:bCs/>
          <w:sz w:val="32"/>
          <w:szCs w:val="32"/>
        </w:rPr>
        <w:t xml:space="preserve"> </w:t>
      </w:r>
      <w:r w:rsidRPr="002911D0">
        <w:rPr>
          <w:rFonts w:ascii="仿宋_GB2312" w:eastAsia="仿宋_GB2312" w:cs="仿宋_GB2312"/>
          <w:b/>
          <w:bCs/>
          <w:sz w:val="32"/>
          <w:szCs w:val="32"/>
        </w:rPr>
        <w:tab/>
      </w:r>
      <w:r w:rsidRPr="002911D0">
        <w:rPr>
          <w:rFonts w:ascii="仿宋_GB2312" w:eastAsia="仿宋_GB2312" w:cs="仿宋_GB2312" w:hint="eastAsia"/>
          <w:b/>
          <w:bCs/>
          <w:sz w:val="32"/>
          <w:szCs w:val="32"/>
        </w:rPr>
        <w:t>操作要求</w:t>
      </w:r>
    </w:p>
    <w:p w:rsidR="00FE718C" w:rsidRPr="00765A44" w:rsidRDefault="00FE718C" w:rsidP="00155DFA">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第十二条</w:t>
      </w:r>
      <w:r w:rsidRPr="00765A44">
        <w:rPr>
          <w:rFonts w:ascii="仿宋" w:eastAsia="仿宋" w:hAnsi="仿宋" w:cs="仿宋"/>
          <w:sz w:val="32"/>
          <w:szCs w:val="32"/>
        </w:rPr>
        <w:t xml:space="preserve"> </w:t>
      </w:r>
      <w:r>
        <w:rPr>
          <w:rFonts w:ascii="仿宋" w:eastAsia="仿宋" w:hAnsi="仿宋" w:cs="仿宋" w:hint="eastAsia"/>
          <w:sz w:val="32"/>
          <w:szCs w:val="32"/>
        </w:rPr>
        <w:t>资产</w:t>
      </w:r>
      <w:r w:rsidRPr="00765A44">
        <w:rPr>
          <w:rFonts w:ascii="仿宋" w:eastAsia="仿宋" w:hAnsi="仿宋" w:cs="仿宋" w:hint="eastAsia"/>
          <w:sz w:val="32"/>
          <w:szCs w:val="32"/>
        </w:rPr>
        <w:t>评估机构承接人民法院委托涉执财产处置司法评估业务后，应当及时确定资产评估师，并通过询价评估系统将资产评估师的信息发送给人民法院。</w:t>
      </w:r>
    </w:p>
    <w:p w:rsidR="00FE718C" w:rsidRPr="00765A44" w:rsidRDefault="00FE718C" w:rsidP="003818D6">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第十三条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及时接收人民法院提供的财产评估相关材料，包括扫描上传至询价评估系统的电子材料以及图纸、账册等无法扫描的其他材料，并对材料内容和材料完整性进行分析确认。</w:t>
      </w:r>
    </w:p>
    <w:p w:rsidR="00FE718C" w:rsidRPr="00765A44" w:rsidRDefault="00FE718C" w:rsidP="00250B1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第十四条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执行人民法院委托涉执财产处置司法评估业务，需要进行现场调查的，</w:t>
      </w:r>
      <w:r>
        <w:rPr>
          <w:rFonts w:ascii="仿宋" w:eastAsia="仿宋" w:hAnsi="仿宋" w:cs="仿宋" w:hint="eastAsia"/>
          <w:sz w:val="32"/>
          <w:szCs w:val="32"/>
        </w:rPr>
        <w:t>资产</w:t>
      </w:r>
      <w:r w:rsidRPr="00765A44">
        <w:rPr>
          <w:rFonts w:ascii="仿宋" w:eastAsia="仿宋" w:hAnsi="仿宋" w:cs="仿宋" w:hint="eastAsia"/>
          <w:sz w:val="32"/>
          <w:szCs w:val="32"/>
        </w:rPr>
        <w:t>评估机构应当及时通知人民法院组织进行。</w:t>
      </w:r>
    </w:p>
    <w:p w:rsidR="00FE718C" w:rsidRPr="00765A44" w:rsidRDefault="00FE718C" w:rsidP="00250B1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现场调查由人民法院通知当事人到场；当事人不到场的，不影响现场调查的进行，但应当有见证人见证。现场调查需要当事人、协助义务人配合的，由人民法院责令其配合；不予配合的，由人民法院依法强制执行。</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第十五条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执行人民法院委托涉执财产处置司法评估业务，应当保留现场调查的文字、语音、照片、影像等资料</w:t>
      </w:r>
      <w:r w:rsidRPr="00765A44">
        <w:rPr>
          <w:rFonts w:ascii="仿宋" w:eastAsia="仿宋" w:hAnsi="仿宋" w:cs="仿宋"/>
          <w:sz w:val="32"/>
          <w:szCs w:val="32"/>
        </w:rPr>
        <w:t>,</w:t>
      </w:r>
      <w:r w:rsidRPr="00765A44">
        <w:rPr>
          <w:rFonts w:ascii="仿宋" w:eastAsia="仿宋" w:hAnsi="仿宋" w:cs="仿宋" w:hint="eastAsia"/>
          <w:sz w:val="32"/>
          <w:szCs w:val="32"/>
        </w:rPr>
        <w:t>以书面形式记录现场调查的时间、地点、过程、结果等，当事人或者见证人应当予以确认。</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第十六条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执行人民法院委托涉执财产处置司法评估业务，资产评估机构及其资产评估师认为评估资料不完整导致无法进行评估或者影响评估结论的，应当及时告知人民法院，由人民法院予以处理。</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第十七条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执行人民法院委托涉执财产处置司法评估业务，应当根据评估财产的特点、可获得的评估资料等因素，选择适当的评估方法，并在资产评估报告中披露评估方法选择的理由。</w:t>
      </w:r>
    </w:p>
    <w:p w:rsidR="00FE718C" w:rsidRPr="00765A44" w:rsidRDefault="00FE718C" w:rsidP="00092D9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第十八条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执行人民法院委托涉执财产处置司法评估业务，应当在规定的期限内出具资产评估报告，并与预估评估费交纳通知书一并通过询价评估系统发送给人民法院。</w:t>
      </w:r>
    </w:p>
    <w:p w:rsidR="00FE718C" w:rsidRPr="00765A44" w:rsidRDefault="00FE718C" w:rsidP="00092D92">
      <w:pPr>
        <w:adjustRightInd w:val="0"/>
        <w:snapToGrid w:val="0"/>
        <w:spacing w:line="360" w:lineRule="auto"/>
        <w:ind w:firstLineChars="200" w:firstLine="640"/>
        <w:rPr>
          <w:rFonts w:ascii="仿宋" w:eastAsia="仿宋" w:hAnsi="仿宋"/>
          <w:sz w:val="32"/>
          <w:szCs w:val="32"/>
        </w:rPr>
      </w:pPr>
      <w:r>
        <w:rPr>
          <w:rFonts w:ascii="仿宋" w:eastAsia="仿宋" w:hAnsi="仿宋" w:cs="仿宋" w:hint="eastAsia"/>
          <w:sz w:val="32"/>
          <w:szCs w:val="32"/>
        </w:rPr>
        <w:t>资产</w:t>
      </w:r>
      <w:r w:rsidRPr="00765A44">
        <w:rPr>
          <w:rFonts w:ascii="仿宋" w:eastAsia="仿宋" w:hAnsi="仿宋" w:cs="仿宋" w:hint="eastAsia"/>
          <w:sz w:val="32"/>
          <w:szCs w:val="32"/>
        </w:rPr>
        <w:t>评估机构出具资产评估报告的期限为收到评估委托书和相关材料后的三十日内：从询价评估系统收取材料的，以系统提示成功发送的时间为起始日；线下收取材料的，以</w:t>
      </w:r>
      <w:r>
        <w:rPr>
          <w:rFonts w:ascii="仿宋" w:eastAsia="仿宋" w:hAnsi="仿宋" w:cs="仿宋" w:hint="eastAsia"/>
          <w:sz w:val="32"/>
          <w:szCs w:val="32"/>
        </w:rPr>
        <w:t>资产</w:t>
      </w:r>
      <w:r w:rsidRPr="00765A44">
        <w:rPr>
          <w:rFonts w:ascii="仿宋" w:eastAsia="仿宋" w:hAnsi="仿宋" w:cs="仿宋" w:hint="eastAsia"/>
          <w:sz w:val="32"/>
          <w:szCs w:val="32"/>
        </w:rPr>
        <w:t>评估机构签收的时间为起始日。</w:t>
      </w:r>
    </w:p>
    <w:p w:rsidR="00FE718C" w:rsidRPr="00765A44" w:rsidRDefault="00FE718C" w:rsidP="00092D9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第十九条</w:t>
      </w:r>
      <w:r w:rsidRPr="00765A44">
        <w:rPr>
          <w:rFonts w:ascii="仿宋" w:eastAsia="仿宋" w:hAnsi="仿宋" w:cs="仿宋"/>
          <w:sz w:val="32"/>
          <w:szCs w:val="32"/>
        </w:rPr>
        <w:t xml:space="preserve"> </w:t>
      </w:r>
      <w:r>
        <w:rPr>
          <w:rFonts w:ascii="仿宋" w:eastAsia="仿宋" w:hAnsi="仿宋" w:cs="仿宋" w:hint="eastAsia"/>
          <w:sz w:val="32"/>
          <w:szCs w:val="32"/>
        </w:rPr>
        <w:t>资产</w:t>
      </w:r>
      <w:r w:rsidRPr="00765A44">
        <w:rPr>
          <w:rFonts w:ascii="仿宋" w:eastAsia="仿宋" w:hAnsi="仿宋" w:cs="仿宋" w:hint="eastAsia"/>
          <w:sz w:val="32"/>
          <w:szCs w:val="32"/>
        </w:rPr>
        <w:t>评估机构认为不能在规定期限内出具资产评估报告的，应当在期限届满五日前通过询价评估系统发送书面的延期申请。申请中应该说明不能按期完成评估的原因，以及申请延长的期限，最长不得超过十五日。</w:t>
      </w:r>
    </w:p>
    <w:p w:rsidR="00FE718C" w:rsidRPr="00765A44" w:rsidRDefault="00FE718C" w:rsidP="00092D9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在人民法院确定的延长期限内，</w:t>
      </w:r>
      <w:r>
        <w:rPr>
          <w:rFonts w:ascii="仿宋" w:eastAsia="仿宋" w:hAnsi="仿宋" w:cs="仿宋" w:hint="eastAsia"/>
          <w:sz w:val="32"/>
          <w:szCs w:val="32"/>
        </w:rPr>
        <w:t>资产</w:t>
      </w:r>
      <w:r w:rsidRPr="00765A44">
        <w:rPr>
          <w:rFonts w:ascii="仿宋" w:eastAsia="仿宋" w:hAnsi="仿宋" w:cs="仿宋" w:hint="eastAsia"/>
          <w:sz w:val="32"/>
          <w:szCs w:val="32"/>
        </w:rPr>
        <w:t>评估机构仍不能出具资产评估报告的，应当再次提出延期申请。延期次数不得超过两次，每次不得超过十五日。</w:t>
      </w:r>
    </w:p>
    <w:p w:rsidR="00FE718C" w:rsidRPr="00765A44" w:rsidRDefault="00FE718C" w:rsidP="00092D9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第二十条</w:t>
      </w:r>
      <w:r w:rsidRPr="00765A44">
        <w:rPr>
          <w:rFonts w:ascii="仿宋" w:eastAsia="仿宋" w:hAnsi="仿宋" w:cs="仿宋"/>
          <w:sz w:val="32"/>
          <w:szCs w:val="32"/>
        </w:rPr>
        <w:t xml:space="preserve"> </w:t>
      </w:r>
      <w:r>
        <w:rPr>
          <w:rFonts w:ascii="仿宋" w:eastAsia="仿宋" w:hAnsi="仿宋" w:cs="仿宋" w:hint="eastAsia"/>
          <w:sz w:val="32"/>
          <w:szCs w:val="32"/>
        </w:rPr>
        <w:t>资产</w:t>
      </w:r>
      <w:r w:rsidRPr="00765A44">
        <w:rPr>
          <w:rFonts w:ascii="仿宋" w:eastAsia="仿宋" w:hAnsi="仿宋" w:cs="仿宋" w:hint="eastAsia"/>
          <w:sz w:val="32"/>
          <w:szCs w:val="32"/>
        </w:rPr>
        <w:t>评估机构未能根据前两款规定如期出具资产评估报告的，应根据人民法院的要求在三日内退回委托评估的材料，并由人民法院另行委托其他评估机构进行评估。</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第二十一条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机构及其资产评估师应当根据评估财产的类型、评估程序履行的情况，以及所选用的评估方法等因素，将从法院接收的材料、现场调查的资料以及资产评估报告等整理形成评估工作档案。</w:t>
      </w:r>
    </w:p>
    <w:p w:rsidR="00FE718C" w:rsidRPr="002911D0" w:rsidRDefault="00FE718C">
      <w:pPr>
        <w:adjustRightInd w:val="0"/>
        <w:snapToGrid w:val="0"/>
        <w:spacing w:line="360" w:lineRule="auto"/>
        <w:ind w:firstLineChars="200" w:firstLine="640"/>
        <w:rPr>
          <w:rFonts w:ascii="仿宋_GB2312" w:eastAsia="仿宋_GB2312"/>
          <w:sz w:val="32"/>
          <w:szCs w:val="32"/>
        </w:rPr>
      </w:pPr>
    </w:p>
    <w:p w:rsidR="00FE718C" w:rsidRPr="002911D0" w:rsidRDefault="00FE718C" w:rsidP="00380178">
      <w:pPr>
        <w:adjustRightInd w:val="0"/>
        <w:snapToGrid w:val="0"/>
        <w:spacing w:line="360" w:lineRule="auto"/>
        <w:ind w:firstLineChars="200" w:firstLine="643"/>
        <w:jc w:val="center"/>
        <w:rPr>
          <w:rFonts w:ascii="仿宋_GB2312" w:eastAsia="仿宋_GB2312"/>
          <w:b/>
          <w:bCs/>
          <w:sz w:val="32"/>
          <w:szCs w:val="32"/>
        </w:rPr>
      </w:pPr>
      <w:r w:rsidRPr="002911D0">
        <w:rPr>
          <w:rFonts w:ascii="仿宋_GB2312" w:eastAsia="仿宋_GB2312" w:cs="仿宋_GB2312" w:hint="eastAsia"/>
          <w:b/>
          <w:bCs/>
          <w:sz w:val="32"/>
          <w:szCs w:val="32"/>
        </w:rPr>
        <w:t>第五章</w:t>
      </w:r>
      <w:r w:rsidRPr="002911D0">
        <w:rPr>
          <w:rFonts w:ascii="仿宋_GB2312" w:eastAsia="仿宋_GB2312"/>
          <w:b/>
          <w:bCs/>
          <w:sz w:val="32"/>
          <w:szCs w:val="32"/>
        </w:rPr>
        <w:tab/>
      </w:r>
      <w:r w:rsidRPr="002911D0">
        <w:rPr>
          <w:rFonts w:ascii="仿宋_GB2312" w:eastAsia="仿宋_GB2312" w:cs="仿宋_GB2312"/>
          <w:b/>
          <w:bCs/>
          <w:sz w:val="32"/>
          <w:szCs w:val="32"/>
        </w:rPr>
        <w:t xml:space="preserve">  </w:t>
      </w:r>
      <w:r w:rsidRPr="002911D0">
        <w:rPr>
          <w:rFonts w:ascii="仿宋_GB2312" w:eastAsia="仿宋_GB2312" w:cs="仿宋_GB2312" w:hint="eastAsia"/>
          <w:b/>
          <w:bCs/>
          <w:sz w:val="32"/>
          <w:szCs w:val="32"/>
        </w:rPr>
        <w:t>披露要求</w:t>
      </w:r>
    </w:p>
    <w:p w:rsidR="00FE718C" w:rsidRPr="00765A44" w:rsidRDefault="00FE718C">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第二十二条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执行人民法院委托涉执财产处置司法评估业务，资产评估报告应载明评估目的是为人民法院执行财产处置提供参考价服务。</w:t>
      </w:r>
    </w:p>
    <w:p w:rsidR="00FE718C" w:rsidRPr="00765A44" w:rsidRDefault="00FE718C" w:rsidP="00BA269D">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第二十三条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执行人民法院委托涉执财产处置司法评估业务，资产评估报告声明中应说明“本资产评估报告是根据现有、限定资料出具，任何依据同一标的资产的其他资料或者信息可能得出与本报告不一致的评估结论”。</w:t>
      </w:r>
    </w:p>
    <w:p w:rsidR="00FE718C" w:rsidRPr="00765A44" w:rsidRDefault="00FE718C" w:rsidP="00D149BE">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第二十四条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执行人民法院委托涉执财产处置司法评估业务，资产评估报告应当披露以下重要事项并提醒委托人及其他评估报告使用人予以关注，包括：</w:t>
      </w:r>
    </w:p>
    <w:p w:rsidR="00FE718C" w:rsidRPr="00765A44" w:rsidRDefault="00FE718C" w:rsidP="00D149BE">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（一）评估基本事项与评估委托书载明事项存在差异的情形以及相关处理方法；</w:t>
      </w:r>
    </w:p>
    <w:p w:rsidR="00FE718C" w:rsidRPr="00765A44" w:rsidRDefault="00FE718C" w:rsidP="00D149BE">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（二）是否进行现场调查，以及现场调查过程中相关当事人的配合情况；</w:t>
      </w:r>
    </w:p>
    <w:p w:rsidR="00FE718C" w:rsidRPr="00765A44" w:rsidRDefault="00FE718C" w:rsidP="00D149BE">
      <w:pPr>
        <w:adjustRightInd w:val="0"/>
        <w:snapToGrid w:val="0"/>
        <w:spacing w:line="360" w:lineRule="auto"/>
        <w:ind w:firstLineChars="200" w:firstLine="640"/>
        <w:rPr>
          <w:rFonts w:ascii="仿宋" w:eastAsia="仿宋" w:hAnsi="仿宋" w:cs="仿宋"/>
          <w:sz w:val="32"/>
          <w:szCs w:val="32"/>
        </w:rPr>
      </w:pPr>
      <w:r w:rsidRPr="00765A44">
        <w:rPr>
          <w:rFonts w:ascii="仿宋" w:eastAsia="仿宋" w:hAnsi="仿宋" w:cs="仿宋" w:hint="eastAsia"/>
          <w:sz w:val="32"/>
          <w:szCs w:val="32"/>
        </w:rPr>
        <w:t>（三）人民法院提供的材料欠缺情况，以及评估资料缺失对资产评估机构及其资产评估师形成评估结论的影响；</w:t>
      </w:r>
      <w:r w:rsidRPr="00765A44">
        <w:rPr>
          <w:rFonts w:ascii="仿宋" w:eastAsia="仿宋" w:hAnsi="仿宋" w:cs="仿宋"/>
          <w:sz w:val="32"/>
          <w:szCs w:val="32"/>
        </w:rPr>
        <w:t xml:space="preserve"> </w:t>
      </w:r>
    </w:p>
    <w:p w:rsidR="00FE718C" w:rsidRPr="00765A44" w:rsidRDefault="00FE718C" w:rsidP="00D149BE">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（四）评估财产涉及的当事人欠缴与评估财产相关的税费等事项；</w:t>
      </w:r>
    </w:p>
    <w:p w:rsidR="00FE718C" w:rsidRPr="00765A44" w:rsidRDefault="00FE718C" w:rsidP="00D149BE">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（五）可能影响评估结论形成、评估报告使用，以及其他需要披露的重要事项。</w:t>
      </w:r>
    </w:p>
    <w:p w:rsidR="00FE718C" w:rsidRPr="00765A44" w:rsidRDefault="00FE718C" w:rsidP="00FB5955">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第二十五条</w:t>
      </w:r>
      <w:r w:rsidRPr="00765A44">
        <w:rPr>
          <w:rFonts w:ascii="仿宋" w:eastAsia="仿宋" w:hAnsi="仿宋" w:cs="仿宋"/>
          <w:sz w:val="32"/>
          <w:szCs w:val="32"/>
        </w:rPr>
        <w:t xml:space="preserve"> </w:t>
      </w:r>
      <w:r w:rsidRPr="00765A44">
        <w:rPr>
          <w:rFonts w:ascii="仿宋" w:eastAsia="仿宋" w:hAnsi="仿宋" w:cs="仿宋" w:hint="eastAsia"/>
          <w:sz w:val="32"/>
          <w:szCs w:val="32"/>
        </w:rPr>
        <w:t>资产评估报告应当提醒资产评估报告使用人正确理解和使用评估结论，评估结论不等同于评估对象可实现价格，评估结论不应当被认为是对评估对象可实现价格的保证。</w:t>
      </w:r>
    </w:p>
    <w:p w:rsidR="00FE718C" w:rsidRPr="00765A44" w:rsidRDefault="00FE718C" w:rsidP="00FB5955">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第二十六条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执行人民法院委托涉执财产处置司法评估业务，资产评估报告的附件通常包括：</w:t>
      </w:r>
    </w:p>
    <w:p w:rsidR="00FE718C" w:rsidRPr="00765A44" w:rsidRDefault="00FE718C" w:rsidP="00FB5955">
      <w:pPr>
        <w:pStyle w:val="ListParagraph"/>
        <w:numPr>
          <w:ilvl w:val="0"/>
          <w:numId w:val="3"/>
        </w:numPr>
        <w:adjustRightInd w:val="0"/>
        <w:snapToGrid w:val="0"/>
        <w:spacing w:line="360" w:lineRule="auto"/>
        <w:ind w:firstLineChars="0"/>
        <w:rPr>
          <w:rFonts w:ascii="仿宋" w:eastAsia="仿宋" w:hAnsi="仿宋"/>
          <w:sz w:val="32"/>
          <w:szCs w:val="32"/>
        </w:rPr>
      </w:pPr>
      <w:r w:rsidRPr="00765A44">
        <w:rPr>
          <w:rFonts w:ascii="仿宋" w:eastAsia="仿宋" w:hAnsi="仿宋" w:cs="仿宋" w:hint="eastAsia"/>
          <w:sz w:val="32"/>
          <w:szCs w:val="32"/>
        </w:rPr>
        <w:t>评估对象所涉及的主要权属证明资料；</w:t>
      </w:r>
    </w:p>
    <w:p w:rsidR="00FE718C" w:rsidRPr="00765A44" w:rsidRDefault="00FE718C" w:rsidP="00FB5955">
      <w:pPr>
        <w:pStyle w:val="ListParagraph"/>
        <w:numPr>
          <w:ilvl w:val="0"/>
          <w:numId w:val="3"/>
        </w:numPr>
        <w:adjustRightInd w:val="0"/>
        <w:snapToGrid w:val="0"/>
        <w:spacing w:line="360" w:lineRule="auto"/>
        <w:ind w:left="658" w:firstLineChars="0" w:firstLine="0"/>
        <w:rPr>
          <w:rFonts w:ascii="仿宋" w:eastAsia="仿宋" w:hAnsi="仿宋"/>
          <w:sz w:val="32"/>
          <w:szCs w:val="32"/>
        </w:rPr>
      </w:pPr>
      <w:r w:rsidRPr="00765A44">
        <w:rPr>
          <w:rFonts w:ascii="仿宋" w:eastAsia="仿宋" w:hAnsi="仿宋" w:cs="仿宋" w:hint="eastAsia"/>
          <w:sz w:val="32"/>
          <w:szCs w:val="32"/>
        </w:rPr>
        <w:t>资产评估机构及签名资产评估师的备案文件或者资格证明文件；</w:t>
      </w:r>
    </w:p>
    <w:p w:rsidR="00FE718C" w:rsidRPr="00765A44" w:rsidRDefault="00FE718C" w:rsidP="00FB5955">
      <w:pPr>
        <w:pStyle w:val="ListParagraph"/>
        <w:numPr>
          <w:ilvl w:val="0"/>
          <w:numId w:val="3"/>
        </w:numPr>
        <w:adjustRightInd w:val="0"/>
        <w:snapToGrid w:val="0"/>
        <w:spacing w:line="360" w:lineRule="auto"/>
        <w:ind w:firstLineChars="0"/>
        <w:rPr>
          <w:rFonts w:ascii="仿宋" w:eastAsia="仿宋" w:hAnsi="仿宋"/>
          <w:sz w:val="32"/>
          <w:szCs w:val="32"/>
        </w:rPr>
      </w:pPr>
      <w:r w:rsidRPr="00765A44">
        <w:rPr>
          <w:rFonts w:ascii="仿宋" w:eastAsia="仿宋" w:hAnsi="仿宋" w:cs="仿宋" w:hint="eastAsia"/>
          <w:sz w:val="32"/>
          <w:szCs w:val="32"/>
        </w:rPr>
        <w:t>评估财产清单。</w:t>
      </w:r>
    </w:p>
    <w:p w:rsidR="00FE718C" w:rsidRPr="00765A44" w:rsidRDefault="00FE718C" w:rsidP="004E5ADB">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第二十七条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执行人民法院委托涉执财产处置司法评估业务，资产评估机构及其资产评估师应当根据具体评估项目的复杂程度和实施情况，合理确定资产评估报告的格式和详略程度。</w:t>
      </w:r>
    </w:p>
    <w:p w:rsidR="00FE718C" w:rsidRPr="002911D0" w:rsidRDefault="00FE718C" w:rsidP="004E5ADB">
      <w:pPr>
        <w:adjustRightInd w:val="0"/>
        <w:snapToGrid w:val="0"/>
        <w:spacing w:line="360" w:lineRule="auto"/>
        <w:ind w:firstLineChars="200" w:firstLine="640"/>
        <w:rPr>
          <w:rFonts w:ascii="仿宋_GB2312" w:eastAsia="仿宋_GB2312"/>
          <w:sz w:val="32"/>
          <w:szCs w:val="32"/>
        </w:rPr>
      </w:pPr>
    </w:p>
    <w:p w:rsidR="00FE718C" w:rsidRPr="002911D0" w:rsidRDefault="00FE718C" w:rsidP="00380178">
      <w:pPr>
        <w:adjustRightInd w:val="0"/>
        <w:snapToGrid w:val="0"/>
        <w:spacing w:line="360" w:lineRule="auto"/>
        <w:ind w:firstLineChars="200" w:firstLine="643"/>
        <w:jc w:val="center"/>
        <w:rPr>
          <w:rFonts w:ascii="仿宋_GB2312" w:eastAsia="仿宋_GB2312" w:cs="仿宋_GB2312"/>
          <w:b/>
          <w:bCs/>
          <w:sz w:val="32"/>
          <w:szCs w:val="32"/>
        </w:rPr>
      </w:pPr>
      <w:r w:rsidRPr="002911D0">
        <w:rPr>
          <w:rFonts w:ascii="仿宋_GB2312" w:eastAsia="仿宋_GB2312" w:cs="仿宋_GB2312" w:hint="eastAsia"/>
          <w:b/>
          <w:bCs/>
          <w:sz w:val="32"/>
          <w:szCs w:val="32"/>
        </w:rPr>
        <w:t>第六章</w:t>
      </w:r>
      <w:r w:rsidRPr="002911D0">
        <w:rPr>
          <w:rFonts w:ascii="仿宋_GB2312" w:eastAsia="仿宋_GB2312" w:cs="仿宋_GB2312"/>
          <w:b/>
          <w:bCs/>
          <w:sz w:val="32"/>
          <w:szCs w:val="32"/>
        </w:rPr>
        <w:t xml:space="preserve">  </w:t>
      </w:r>
      <w:r w:rsidRPr="002911D0">
        <w:rPr>
          <w:rFonts w:ascii="仿宋_GB2312" w:eastAsia="仿宋_GB2312" w:cs="仿宋_GB2312" w:hint="eastAsia"/>
          <w:b/>
          <w:bCs/>
          <w:sz w:val="32"/>
          <w:szCs w:val="32"/>
        </w:rPr>
        <w:t>附</w:t>
      </w:r>
      <w:r w:rsidRPr="002911D0">
        <w:rPr>
          <w:rFonts w:ascii="仿宋_GB2312" w:eastAsia="仿宋_GB2312" w:cs="仿宋_GB2312"/>
          <w:b/>
          <w:bCs/>
          <w:sz w:val="32"/>
          <w:szCs w:val="32"/>
        </w:rPr>
        <w:t xml:space="preserve"> </w:t>
      </w:r>
      <w:r w:rsidRPr="002911D0">
        <w:rPr>
          <w:rFonts w:ascii="仿宋_GB2312" w:eastAsia="仿宋_GB2312" w:cs="仿宋_GB2312" w:hint="eastAsia"/>
          <w:b/>
          <w:bCs/>
          <w:sz w:val="32"/>
          <w:szCs w:val="32"/>
        </w:rPr>
        <w:t>则</w:t>
      </w:r>
      <w:r w:rsidRPr="002911D0">
        <w:rPr>
          <w:rFonts w:ascii="仿宋_GB2312" w:eastAsia="仿宋_GB2312" w:cs="仿宋_GB2312"/>
          <w:b/>
          <w:bCs/>
          <w:sz w:val="32"/>
          <w:szCs w:val="32"/>
        </w:rPr>
        <w:t xml:space="preserve"> </w:t>
      </w:r>
    </w:p>
    <w:p w:rsidR="00FE718C" w:rsidRPr="00765A44" w:rsidRDefault="00FE718C" w:rsidP="009B2D4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第二十八条</w:t>
      </w:r>
      <w:r w:rsidRPr="00765A44">
        <w:rPr>
          <w:rFonts w:ascii="仿宋" w:eastAsia="仿宋" w:hAnsi="仿宋" w:cs="仿宋"/>
          <w:sz w:val="32"/>
          <w:szCs w:val="32"/>
        </w:rPr>
        <w:t xml:space="preserve"> </w:t>
      </w:r>
      <w:r w:rsidRPr="00765A44">
        <w:rPr>
          <w:rFonts w:ascii="仿宋" w:eastAsia="仿宋" w:hAnsi="仿宋" w:cs="仿宋" w:hint="eastAsia"/>
          <w:sz w:val="32"/>
          <w:szCs w:val="32"/>
        </w:rPr>
        <w:t>本指导意见自</w:t>
      </w:r>
      <w:r w:rsidRPr="00765A44">
        <w:rPr>
          <w:rFonts w:ascii="仿宋" w:eastAsia="仿宋" w:hAnsi="仿宋" w:cs="仿宋"/>
          <w:sz w:val="32"/>
          <w:szCs w:val="32"/>
        </w:rPr>
        <w:t>2019</w:t>
      </w:r>
      <w:r w:rsidRPr="00765A44">
        <w:rPr>
          <w:rFonts w:ascii="仿宋" w:eastAsia="仿宋" w:hAnsi="仿宋" w:cs="仿宋" w:hint="eastAsia"/>
          <w:sz w:val="32"/>
          <w:szCs w:val="32"/>
        </w:rPr>
        <w:t>年</w:t>
      </w:r>
      <w:r w:rsidRPr="00765A44">
        <w:rPr>
          <w:rFonts w:ascii="仿宋" w:eastAsia="仿宋" w:hAnsi="仿宋" w:cs="仿宋"/>
          <w:sz w:val="32"/>
          <w:szCs w:val="32"/>
        </w:rPr>
        <w:t>3</w:t>
      </w:r>
      <w:r w:rsidRPr="00765A44">
        <w:rPr>
          <w:rFonts w:ascii="仿宋" w:eastAsia="仿宋" w:hAnsi="仿宋" w:cs="仿宋" w:hint="eastAsia"/>
          <w:sz w:val="32"/>
          <w:szCs w:val="32"/>
        </w:rPr>
        <w:t>月</w:t>
      </w:r>
      <w:r w:rsidRPr="00765A44">
        <w:rPr>
          <w:rFonts w:ascii="仿宋" w:eastAsia="仿宋" w:hAnsi="仿宋" w:cs="仿宋"/>
          <w:sz w:val="32"/>
          <w:szCs w:val="32"/>
        </w:rPr>
        <w:t>1</w:t>
      </w:r>
      <w:r w:rsidRPr="00765A44">
        <w:rPr>
          <w:rFonts w:ascii="仿宋" w:eastAsia="仿宋" w:hAnsi="仿宋" w:cs="仿宋" w:hint="eastAsia"/>
          <w:sz w:val="32"/>
          <w:szCs w:val="32"/>
        </w:rPr>
        <w:t>日起施行。</w:t>
      </w:r>
    </w:p>
    <w:p w:rsidR="00FE718C" w:rsidRPr="00765A44" w:rsidRDefault="00FE718C" w:rsidP="009B2D42">
      <w:pPr>
        <w:adjustRightInd w:val="0"/>
        <w:snapToGrid w:val="0"/>
        <w:spacing w:line="360" w:lineRule="auto"/>
        <w:ind w:firstLineChars="200" w:firstLine="640"/>
        <w:rPr>
          <w:rFonts w:ascii="仿宋" w:eastAsia="仿宋" w:hAnsi="仿宋"/>
          <w:sz w:val="32"/>
          <w:szCs w:val="32"/>
        </w:rPr>
      </w:pPr>
      <w:r w:rsidRPr="00765A44">
        <w:rPr>
          <w:rFonts w:ascii="仿宋" w:eastAsia="仿宋" w:hAnsi="仿宋" w:cs="仿宋" w:hint="eastAsia"/>
          <w:sz w:val="32"/>
          <w:szCs w:val="32"/>
        </w:rPr>
        <w:t>附：资产评估报告封面参考样式（供参考）</w:t>
      </w:r>
    </w:p>
    <w:p w:rsidR="00FE718C" w:rsidRPr="002911D0" w:rsidRDefault="00FE718C" w:rsidP="009B2D42">
      <w:pPr>
        <w:adjustRightInd w:val="0"/>
        <w:snapToGrid w:val="0"/>
        <w:spacing w:line="360" w:lineRule="auto"/>
        <w:ind w:firstLineChars="200" w:firstLine="640"/>
        <w:rPr>
          <w:rFonts w:ascii="仿宋_GB2312" w:eastAsia="仿宋_GB2312"/>
          <w:sz w:val="32"/>
          <w:szCs w:val="32"/>
        </w:rPr>
        <w:sectPr w:rsidR="00FE718C" w:rsidRPr="002911D0">
          <w:footerReference w:type="default" r:id="rId7"/>
          <w:pgSz w:w="11906" w:h="16838"/>
          <w:pgMar w:top="1440" w:right="1800" w:bottom="1440" w:left="1800" w:header="851" w:footer="992" w:gutter="0"/>
          <w:cols w:space="720"/>
          <w:docGrid w:type="lines" w:linePitch="312"/>
        </w:sectPr>
      </w:pPr>
    </w:p>
    <w:p w:rsidR="00FE718C" w:rsidRPr="00765A44" w:rsidRDefault="00FE718C" w:rsidP="00FC5980">
      <w:pPr>
        <w:adjustRightInd w:val="0"/>
        <w:snapToGrid w:val="0"/>
        <w:spacing w:line="360" w:lineRule="auto"/>
        <w:rPr>
          <w:rFonts w:ascii="仿宋" w:eastAsia="仿宋" w:hAnsi="仿宋"/>
          <w:sz w:val="40"/>
          <w:szCs w:val="40"/>
        </w:rPr>
      </w:pPr>
      <w:r w:rsidRPr="00765A44">
        <w:rPr>
          <w:rFonts w:ascii="仿宋" w:eastAsia="仿宋" w:hAnsi="仿宋" w:cs="仿宋" w:hint="eastAsia"/>
          <w:sz w:val="40"/>
          <w:szCs w:val="40"/>
        </w:rPr>
        <w:t>附：</w:t>
      </w:r>
    </w:p>
    <w:p w:rsidR="00FE718C" w:rsidRPr="00765A44" w:rsidRDefault="00FE718C" w:rsidP="00FC5980">
      <w:pPr>
        <w:adjustRightInd w:val="0"/>
        <w:snapToGrid w:val="0"/>
        <w:spacing w:line="360" w:lineRule="auto"/>
        <w:jc w:val="center"/>
        <w:rPr>
          <w:rFonts w:ascii="仿宋" w:eastAsia="仿宋" w:hAnsi="仿宋"/>
          <w:b/>
          <w:bCs/>
          <w:sz w:val="32"/>
          <w:szCs w:val="32"/>
        </w:rPr>
      </w:pPr>
      <w:r w:rsidRPr="00765A44">
        <w:rPr>
          <w:rFonts w:ascii="仿宋" w:eastAsia="仿宋" w:hAnsi="仿宋" w:cs="仿宋" w:hint="eastAsia"/>
          <w:b/>
          <w:bCs/>
          <w:sz w:val="32"/>
          <w:szCs w:val="32"/>
        </w:rPr>
        <w:t>资产评估报告封面参考样式（供参考）</w:t>
      </w:r>
    </w:p>
    <w:p w:rsidR="00FE718C" w:rsidRPr="002911D0" w:rsidRDefault="00FE718C" w:rsidP="002557B2">
      <w:pPr>
        <w:adjustRightInd w:val="0"/>
        <w:snapToGrid w:val="0"/>
        <w:spacing w:line="360" w:lineRule="auto"/>
        <w:jc w:val="center"/>
        <w:rPr>
          <w:rFonts w:ascii="仿宋_GB2312" w:eastAsia="仿宋_GB2312"/>
          <w:sz w:val="40"/>
          <w:szCs w:val="40"/>
        </w:rPr>
      </w:pPr>
    </w:p>
    <w:p w:rsidR="00FE718C" w:rsidRPr="00765A44" w:rsidRDefault="00FE718C" w:rsidP="00ED4AA6">
      <w:pPr>
        <w:adjustRightInd w:val="0"/>
        <w:snapToGrid w:val="0"/>
        <w:spacing w:line="360" w:lineRule="auto"/>
        <w:jc w:val="left"/>
        <w:rPr>
          <w:rFonts w:ascii="仿宋" w:eastAsia="仿宋" w:hAnsi="仿宋"/>
          <w:sz w:val="32"/>
          <w:szCs w:val="32"/>
        </w:rPr>
      </w:pPr>
      <w:r w:rsidRPr="00765A44">
        <w:rPr>
          <w:rFonts w:ascii="仿宋" w:eastAsia="仿宋" w:hAnsi="仿宋" w:cs="仿宋" w:hint="eastAsia"/>
          <w:sz w:val="32"/>
          <w:szCs w:val="32"/>
        </w:rPr>
        <w:t>本资产评估报告依据中国资产评估准则编制</w:t>
      </w:r>
    </w:p>
    <w:p w:rsidR="00FE718C" w:rsidRPr="00765A44" w:rsidRDefault="00FE718C" w:rsidP="00ED4AA6">
      <w:pPr>
        <w:adjustRightInd w:val="0"/>
        <w:snapToGrid w:val="0"/>
        <w:spacing w:line="360" w:lineRule="auto"/>
        <w:jc w:val="left"/>
        <w:rPr>
          <w:rFonts w:ascii="仿宋" w:eastAsia="仿宋" w:hAnsi="仿宋"/>
          <w:sz w:val="32"/>
          <w:szCs w:val="32"/>
        </w:rPr>
      </w:pPr>
      <w:r w:rsidRPr="00765A44">
        <w:rPr>
          <w:rFonts w:ascii="仿宋" w:eastAsia="仿宋" w:hAnsi="仿宋" w:cs="仿宋" w:hint="eastAsia"/>
          <w:sz w:val="32"/>
          <w:szCs w:val="32"/>
        </w:rPr>
        <w:t>人民法院确定财产处置参考价目的的资产评估报告</w:t>
      </w:r>
    </w:p>
    <w:p w:rsidR="00FE718C" w:rsidRPr="00765A44" w:rsidRDefault="00FE718C" w:rsidP="002911D0">
      <w:pPr>
        <w:adjustRightInd w:val="0"/>
        <w:snapToGrid w:val="0"/>
        <w:spacing w:line="360" w:lineRule="auto"/>
        <w:ind w:firstLineChars="200" w:firstLine="640"/>
        <w:jc w:val="center"/>
        <w:rPr>
          <w:rFonts w:ascii="仿宋" w:eastAsia="仿宋" w:hAnsi="仿宋" w:cs="仿宋"/>
          <w:sz w:val="32"/>
          <w:szCs w:val="32"/>
        </w:rPr>
      </w:pPr>
      <w:r w:rsidRPr="00765A44">
        <w:rPr>
          <w:rFonts w:ascii="仿宋" w:eastAsia="仿宋" w:hAnsi="仿宋" w:cs="仿宋"/>
          <w:sz w:val="32"/>
          <w:szCs w:val="32"/>
        </w:rPr>
        <w:t>A</w:t>
      </w:r>
      <w:r w:rsidRPr="00765A44">
        <w:rPr>
          <w:rFonts w:ascii="仿宋" w:eastAsia="仿宋" w:hAnsi="仿宋" w:cs="仿宋" w:hint="eastAsia"/>
          <w:sz w:val="32"/>
          <w:szCs w:val="32"/>
        </w:rPr>
        <w:t>法院拟</w:t>
      </w:r>
      <w:r w:rsidRPr="00765A44">
        <w:rPr>
          <w:rFonts w:ascii="仿宋" w:eastAsia="仿宋" w:hAnsi="仿宋" w:cs="仿宋"/>
          <w:sz w:val="32"/>
          <w:szCs w:val="32"/>
        </w:rPr>
        <w:t>xx</w:t>
      </w:r>
      <w:r w:rsidRPr="00765A44">
        <w:rPr>
          <w:rFonts w:ascii="仿宋" w:eastAsia="仿宋" w:hAnsi="仿宋" w:cs="仿宋" w:hint="eastAsia"/>
          <w:sz w:val="32"/>
          <w:szCs w:val="32"/>
        </w:rPr>
        <w:t>涉及的</w:t>
      </w:r>
      <w:r w:rsidRPr="00765A44">
        <w:rPr>
          <w:rFonts w:ascii="仿宋" w:eastAsia="仿宋" w:hAnsi="仿宋" w:cs="仿宋"/>
          <w:sz w:val="32"/>
          <w:szCs w:val="32"/>
        </w:rPr>
        <w:t>xx</w:t>
      </w:r>
    </w:p>
    <w:p w:rsidR="00FE718C" w:rsidRPr="00765A44" w:rsidRDefault="00FE718C" w:rsidP="002911D0">
      <w:pPr>
        <w:adjustRightInd w:val="0"/>
        <w:snapToGrid w:val="0"/>
        <w:spacing w:line="360" w:lineRule="auto"/>
        <w:ind w:firstLineChars="200" w:firstLine="640"/>
        <w:jc w:val="center"/>
        <w:rPr>
          <w:rFonts w:ascii="仿宋" w:eastAsia="仿宋" w:hAnsi="仿宋"/>
          <w:sz w:val="32"/>
          <w:szCs w:val="32"/>
        </w:rPr>
      </w:pPr>
      <w:r w:rsidRPr="00765A44">
        <w:rPr>
          <w:rFonts w:ascii="仿宋" w:eastAsia="仿宋" w:hAnsi="仿宋" w:cs="仿宋" w:hint="eastAsia"/>
          <w:sz w:val="32"/>
          <w:szCs w:val="32"/>
        </w:rPr>
        <w:t>资产评估报告</w:t>
      </w: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r w:rsidRPr="00765A44">
        <w:rPr>
          <w:rFonts w:ascii="仿宋" w:eastAsia="仿宋" w:hAnsi="仿宋" w:cs="仿宋"/>
          <w:sz w:val="32"/>
          <w:szCs w:val="32"/>
        </w:rPr>
        <w:t>xx</w:t>
      </w:r>
      <w:r w:rsidRPr="00765A44">
        <w:rPr>
          <w:rFonts w:ascii="仿宋" w:eastAsia="仿宋" w:hAnsi="仿宋" w:cs="仿宋" w:hint="eastAsia"/>
          <w:sz w:val="32"/>
          <w:szCs w:val="32"/>
        </w:rPr>
        <w:t>评报字（</w:t>
      </w:r>
      <w:r w:rsidRPr="00765A44">
        <w:rPr>
          <w:rFonts w:ascii="仿宋" w:eastAsia="仿宋" w:hAnsi="仿宋" w:cs="仿宋"/>
          <w:sz w:val="32"/>
          <w:szCs w:val="32"/>
        </w:rPr>
        <w:t>20xx</w:t>
      </w:r>
      <w:r w:rsidRPr="00765A44">
        <w:rPr>
          <w:rFonts w:ascii="仿宋" w:eastAsia="仿宋" w:hAnsi="仿宋" w:cs="仿宋" w:hint="eastAsia"/>
          <w:sz w:val="32"/>
          <w:szCs w:val="32"/>
        </w:rPr>
        <w:t>）第</w:t>
      </w:r>
      <w:r w:rsidRPr="00765A44">
        <w:rPr>
          <w:rFonts w:ascii="仿宋" w:eastAsia="仿宋" w:hAnsi="仿宋" w:cs="仿宋"/>
          <w:sz w:val="32"/>
          <w:szCs w:val="32"/>
        </w:rPr>
        <w:t>xxxx</w:t>
      </w:r>
      <w:r w:rsidRPr="00765A44">
        <w:rPr>
          <w:rFonts w:ascii="仿宋" w:eastAsia="仿宋" w:hAnsi="仿宋" w:cs="仿宋" w:hint="eastAsia"/>
          <w:sz w:val="32"/>
          <w:szCs w:val="32"/>
        </w:rPr>
        <w:t>号</w:t>
      </w: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r w:rsidRPr="00765A44">
        <w:rPr>
          <w:rFonts w:ascii="仿宋" w:eastAsia="仿宋" w:hAnsi="仿宋" w:cs="仿宋" w:hint="eastAsia"/>
          <w:sz w:val="32"/>
          <w:szCs w:val="32"/>
        </w:rPr>
        <w:t>（共</w:t>
      </w:r>
      <w:r w:rsidRPr="00765A44">
        <w:rPr>
          <w:rFonts w:ascii="仿宋" w:eastAsia="仿宋" w:hAnsi="仿宋" w:cs="仿宋"/>
          <w:sz w:val="32"/>
          <w:szCs w:val="32"/>
        </w:rPr>
        <w:t>x</w:t>
      </w:r>
      <w:r w:rsidRPr="00765A44">
        <w:rPr>
          <w:rFonts w:ascii="仿宋" w:eastAsia="仿宋" w:hAnsi="仿宋" w:cs="仿宋" w:hint="eastAsia"/>
          <w:sz w:val="32"/>
          <w:szCs w:val="32"/>
        </w:rPr>
        <w:t>册，第</w:t>
      </w:r>
      <w:r w:rsidRPr="00765A44">
        <w:rPr>
          <w:rFonts w:ascii="仿宋" w:eastAsia="仿宋" w:hAnsi="仿宋" w:cs="仿宋"/>
          <w:sz w:val="32"/>
          <w:szCs w:val="32"/>
        </w:rPr>
        <w:t>1</w:t>
      </w:r>
      <w:r w:rsidRPr="00765A44">
        <w:rPr>
          <w:rFonts w:ascii="仿宋" w:eastAsia="仿宋" w:hAnsi="仿宋" w:cs="仿宋" w:hint="eastAsia"/>
          <w:sz w:val="32"/>
          <w:szCs w:val="32"/>
        </w:rPr>
        <w:t>册）</w:t>
      </w: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p>
    <w:p w:rsidR="00FE718C" w:rsidRPr="00765A44" w:rsidRDefault="00FE718C" w:rsidP="002911D0">
      <w:pPr>
        <w:adjustRightInd w:val="0"/>
        <w:snapToGrid w:val="0"/>
        <w:spacing w:line="360" w:lineRule="auto"/>
        <w:rPr>
          <w:rFonts w:ascii="仿宋" w:eastAsia="仿宋" w:hAnsi="仿宋"/>
          <w:sz w:val="32"/>
          <w:szCs w:val="32"/>
        </w:rPr>
      </w:pPr>
    </w:p>
    <w:p w:rsidR="00FE718C" w:rsidRPr="00765A44" w:rsidRDefault="00FE718C" w:rsidP="00C96583">
      <w:pPr>
        <w:adjustRightInd w:val="0"/>
        <w:snapToGrid w:val="0"/>
        <w:spacing w:line="360" w:lineRule="auto"/>
        <w:ind w:firstLineChars="200" w:firstLine="640"/>
        <w:jc w:val="center"/>
        <w:rPr>
          <w:rFonts w:ascii="仿宋" w:eastAsia="仿宋" w:hAnsi="仿宋"/>
          <w:sz w:val="32"/>
          <w:szCs w:val="32"/>
        </w:rPr>
      </w:pPr>
      <w:r w:rsidRPr="00765A44">
        <w:rPr>
          <w:rFonts w:ascii="仿宋" w:eastAsia="仿宋" w:hAnsi="仿宋" w:cs="仿宋"/>
          <w:sz w:val="32"/>
          <w:szCs w:val="32"/>
        </w:rPr>
        <w:t>xxxx</w:t>
      </w:r>
      <w:r w:rsidRPr="00765A44">
        <w:rPr>
          <w:rFonts w:ascii="仿宋" w:eastAsia="仿宋" w:hAnsi="仿宋" w:cs="仿宋" w:hint="eastAsia"/>
          <w:sz w:val="32"/>
          <w:szCs w:val="32"/>
        </w:rPr>
        <w:t>资产评估有限公司</w:t>
      </w:r>
    </w:p>
    <w:p w:rsidR="00FE718C" w:rsidRPr="00DF7B97" w:rsidRDefault="00FE718C" w:rsidP="00380178">
      <w:pPr>
        <w:adjustRightInd w:val="0"/>
        <w:snapToGrid w:val="0"/>
        <w:spacing w:line="360" w:lineRule="auto"/>
        <w:ind w:firstLineChars="200" w:firstLine="640"/>
        <w:jc w:val="center"/>
        <w:rPr>
          <w:rFonts w:ascii="仿宋_GB2312" w:eastAsia="仿宋_GB2312"/>
          <w:sz w:val="32"/>
          <w:szCs w:val="32"/>
        </w:rPr>
      </w:pPr>
      <w:r w:rsidRPr="00765A44">
        <w:rPr>
          <w:rFonts w:ascii="仿宋" w:eastAsia="仿宋" w:hAnsi="仿宋" w:cs="仿宋"/>
          <w:sz w:val="32"/>
          <w:szCs w:val="32"/>
        </w:rPr>
        <w:t>20xx</w:t>
      </w:r>
      <w:r w:rsidRPr="00765A44">
        <w:rPr>
          <w:rFonts w:ascii="仿宋" w:eastAsia="仿宋" w:hAnsi="仿宋" w:cs="仿宋" w:hint="eastAsia"/>
          <w:sz w:val="32"/>
          <w:szCs w:val="32"/>
        </w:rPr>
        <w:t>年</w:t>
      </w:r>
      <w:r w:rsidRPr="00765A44">
        <w:rPr>
          <w:rFonts w:ascii="仿宋" w:eastAsia="仿宋" w:hAnsi="仿宋" w:cs="仿宋"/>
          <w:sz w:val="32"/>
          <w:szCs w:val="32"/>
        </w:rPr>
        <w:t>x</w:t>
      </w:r>
      <w:r w:rsidRPr="00765A44">
        <w:rPr>
          <w:rFonts w:ascii="仿宋" w:eastAsia="仿宋" w:hAnsi="仿宋" w:cs="仿宋" w:hint="eastAsia"/>
          <w:sz w:val="32"/>
          <w:szCs w:val="32"/>
        </w:rPr>
        <w:t>月</w:t>
      </w:r>
      <w:r w:rsidRPr="00765A44">
        <w:rPr>
          <w:rFonts w:ascii="仿宋" w:eastAsia="仿宋" w:hAnsi="仿宋" w:cs="仿宋"/>
          <w:sz w:val="32"/>
          <w:szCs w:val="32"/>
        </w:rPr>
        <w:t>x</w:t>
      </w:r>
      <w:r w:rsidRPr="00765A44">
        <w:rPr>
          <w:rFonts w:ascii="仿宋" w:eastAsia="仿宋" w:hAnsi="仿宋" w:cs="仿宋" w:hint="eastAsia"/>
          <w:sz w:val="32"/>
          <w:szCs w:val="32"/>
        </w:rPr>
        <w:t>日</w:t>
      </w:r>
    </w:p>
    <w:sectPr w:rsidR="00FE718C" w:rsidRPr="00DF7B97" w:rsidSect="003E1F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8C" w:rsidRDefault="00FE718C">
      <w:r>
        <w:separator/>
      </w:r>
    </w:p>
  </w:endnote>
  <w:endnote w:type="continuationSeparator" w:id="0">
    <w:p w:rsidR="00FE718C" w:rsidRDefault="00FE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8C" w:rsidRDefault="00FE718C">
    <w:pPr>
      <w:pStyle w:val="Footer"/>
      <w:jc w:val="center"/>
    </w:pPr>
    <w:fldSimple w:instr="PAGE   \* MERGEFORMAT">
      <w:r w:rsidRPr="00380178">
        <w:rPr>
          <w:noProof/>
          <w:lang w:val="zh-CN"/>
        </w:rPr>
        <w:t>8</w:t>
      </w:r>
    </w:fldSimple>
  </w:p>
  <w:p w:rsidR="00FE718C" w:rsidRDefault="00FE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8C" w:rsidRDefault="00FE718C">
      <w:r>
        <w:separator/>
      </w:r>
    </w:p>
  </w:footnote>
  <w:footnote w:type="continuationSeparator" w:id="0">
    <w:p w:rsidR="00FE718C" w:rsidRDefault="00FE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635"/>
    <w:multiLevelType w:val="hybridMultilevel"/>
    <w:tmpl w:val="A5CACB20"/>
    <w:lvl w:ilvl="0" w:tplc="BB38EF6C">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31770CC"/>
    <w:multiLevelType w:val="hybridMultilevel"/>
    <w:tmpl w:val="48E62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38AF47CC"/>
    <w:multiLevelType w:val="hybridMultilevel"/>
    <w:tmpl w:val="E242C080"/>
    <w:lvl w:ilvl="0" w:tplc="0EB6A45C">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69361A6E"/>
    <w:multiLevelType w:val="hybridMultilevel"/>
    <w:tmpl w:val="389C3910"/>
    <w:lvl w:ilvl="0" w:tplc="48D8DF90">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B46"/>
    <w:rsid w:val="000037F0"/>
    <w:rsid w:val="000076C6"/>
    <w:rsid w:val="0001064C"/>
    <w:rsid w:val="00010AD8"/>
    <w:rsid w:val="0001121F"/>
    <w:rsid w:val="00013BC9"/>
    <w:rsid w:val="00015176"/>
    <w:rsid w:val="000152CB"/>
    <w:rsid w:val="00021887"/>
    <w:rsid w:val="000243DB"/>
    <w:rsid w:val="00026C0A"/>
    <w:rsid w:val="00030793"/>
    <w:rsid w:val="00045664"/>
    <w:rsid w:val="000458A4"/>
    <w:rsid w:val="0005218A"/>
    <w:rsid w:val="00053925"/>
    <w:rsid w:val="00054748"/>
    <w:rsid w:val="000607CA"/>
    <w:rsid w:val="00062ABC"/>
    <w:rsid w:val="000662A9"/>
    <w:rsid w:val="00066D1E"/>
    <w:rsid w:val="00067459"/>
    <w:rsid w:val="000677DF"/>
    <w:rsid w:val="000803AC"/>
    <w:rsid w:val="00084996"/>
    <w:rsid w:val="00087AC0"/>
    <w:rsid w:val="0009070C"/>
    <w:rsid w:val="00092D92"/>
    <w:rsid w:val="0009439D"/>
    <w:rsid w:val="000A03D0"/>
    <w:rsid w:val="000A6009"/>
    <w:rsid w:val="000B58EC"/>
    <w:rsid w:val="000B7B46"/>
    <w:rsid w:val="000C53A2"/>
    <w:rsid w:val="000D0219"/>
    <w:rsid w:val="000D3C38"/>
    <w:rsid w:val="000D5A66"/>
    <w:rsid w:val="000D5AA6"/>
    <w:rsid w:val="000D7D65"/>
    <w:rsid w:val="000E010F"/>
    <w:rsid w:val="000E1C7D"/>
    <w:rsid w:val="00100D14"/>
    <w:rsid w:val="00103DE3"/>
    <w:rsid w:val="001118E7"/>
    <w:rsid w:val="00115E20"/>
    <w:rsid w:val="001162F8"/>
    <w:rsid w:val="00122C8F"/>
    <w:rsid w:val="00124F7C"/>
    <w:rsid w:val="00130813"/>
    <w:rsid w:val="001310BA"/>
    <w:rsid w:val="00132631"/>
    <w:rsid w:val="0013359F"/>
    <w:rsid w:val="00133B1E"/>
    <w:rsid w:val="00141119"/>
    <w:rsid w:val="0014118B"/>
    <w:rsid w:val="001419DB"/>
    <w:rsid w:val="00141FE9"/>
    <w:rsid w:val="00144320"/>
    <w:rsid w:val="0014464A"/>
    <w:rsid w:val="0014678C"/>
    <w:rsid w:val="00155DFA"/>
    <w:rsid w:val="00160A7D"/>
    <w:rsid w:val="00173059"/>
    <w:rsid w:val="00173359"/>
    <w:rsid w:val="00177A03"/>
    <w:rsid w:val="00183FCE"/>
    <w:rsid w:val="001918DB"/>
    <w:rsid w:val="001A1239"/>
    <w:rsid w:val="001A2E2D"/>
    <w:rsid w:val="001A4A4E"/>
    <w:rsid w:val="001A50A8"/>
    <w:rsid w:val="001A701D"/>
    <w:rsid w:val="001B023C"/>
    <w:rsid w:val="001B30AD"/>
    <w:rsid w:val="001B4253"/>
    <w:rsid w:val="001C2354"/>
    <w:rsid w:val="001D07FA"/>
    <w:rsid w:val="001D3970"/>
    <w:rsid w:val="001D765B"/>
    <w:rsid w:val="001E2F0A"/>
    <w:rsid w:val="001E4FC2"/>
    <w:rsid w:val="001E5C7F"/>
    <w:rsid w:val="001E6C3B"/>
    <w:rsid w:val="001F20B9"/>
    <w:rsid w:val="001F56EC"/>
    <w:rsid w:val="00202A0C"/>
    <w:rsid w:val="002045E5"/>
    <w:rsid w:val="002073BB"/>
    <w:rsid w:val="00207902"/>
    <w:rsid w:val="0021284C"/>
    <w:rsid w:val="00214051"/>
    <w:rsid w:val="002200B1"/>
    <w:rsid w:val="0022134F"/>
    <w:rsid w:val="00221B2E"/>
    <w:rsid w:val="00223154"/>
    <w:rsid w:val="00226EDE"/>
    <w:rsid w:val="002300F8"/>
    <w:rsid w:val="002316B3"/>
    <w:rsid w:val="00237203"/>
    <w:rsid w:val="00245CC9"/>
    <w:rsid w:val="00250B12"/>
    <w:rsid w:val="00253179"/>
    <w:rsid w:val="00254D58"/>
    <w:rsid w:val="002557B2"/>
    <w:rsid w:val="00260CE9"/>
    <w:rsid w:val="0026785B"/>
    <w:rsid w:val="00270B4D"/>
    <w:rsid w:val="002714B3"/>
    <w:rsid w:val="002911D0"/>
    <w:rsid w:val="002949DA"/>
    <w:rsid w:val="002972B6"/>
    <w:rsid w:val="002A04DF"/>
    <w:rsid w:val="002A2183"/>
    <w:rsid w:val="002A2CD8"/>
    <w:rsid w:val="002B081F"/>
    <w:rsid w:val="002B4295"/>
    <w:rsid w:val="002B4753"/>
    <w:rsid w:val="002C02E1"/>
    <w:rsid w:val="002C6ED9"/>
    <w:rsid w:val="002D54DB"/>
    <w:rsid w:val="002E0331"/>
    <w:rsid w:val="002F0510"/>
    <w:rsid w:val="002F4A57"/>
    <w:rsid w:val="002F5BCD"/>
    <w:rsid w:val="00300843"/>
    <w:rsid w:val="00303855"/>
    <w:rsid w:val="00303FAA"/>
    <w:rsid w:val="00310B21"/>
    <w:rsid w:val="00312B46"/>
    <w:rsid w:val="0031424E"/>
    <w:rsid w:val="003147FB"/>
    <w:rsid w:val="00320053"/>
    <w:rsid w:val="0032137E"/>
    <w:rsid w:val="0032166D"/>
    <w:rsid w:val="003221ED"/>
    <w:rsid w:val="00324AB1"/>
    <w:rsid w:val="003320CC"/>
    <w:rsid w:val="00332D6E"/>
    <w:rsid w:val="00345FBF"/>
    <w:rsid w:val="00347C09"/>
    <w:rsid w:val="00351474"/>
    <w:rsid w:val="00352454"/>
    <w:rsid w:val="003528B0"/>
    <w:rsid w:val="0035381C"/>
    <w:rsid w:val="003558DF"/>
    <w:rsid w:val="00361A93"/>
    <w:rsid w:val="00362B10"/>
    <w:rsid w:val="00363956"/>
    <w:rsid w:val="00366790"/>
    <w:rsid w:val="00376509"/>
    <w:rsid w:val="00376B8B"/>
    <w:rsid w:val="00380178"/>
    <w:rsid w:val="00381450"/>
    <w:rsid w:val="003818D6"/>
    <w:rsid w:val="003876A8"/>
    <w:rsid w:val="00392878"/>
    <w:rsid w:val="003937E4"/>
    <w:rsid w:val="003A1572"/>
    <w:rsid w:val="003A1AFD"/>
    <w:rsid w:val="003A6665"/>
    <w:rsid w:val="003B1E59"/>
    <w:rsid w:val="003C2DAE"/>
    <w:rsid w:val="003C4209"/>
    <w:rsid w:val="003C4A26"/>
    <w:rsid w:val="003C5B67"/>
    <w:rsid w:val="003C75CF"/>
    <w:rsid w:val="003D7039"/>
    <w:rsid w:val="003E1F7D"/>
    <w:rsid w:val="003E3272"/>
    <w:rsid w:val="003E34DF"/>
    <w:rsid w:val="00402263"/>
    <w:rsid w:val="00411E50"/>
    <w:rsid w:val="00411FF9"/>
    <w:rsid w:val="00417067"/>
    <w:rsid w:val="00433282"/>
    <w:rsid w:val="00435335"/>
    <w:rsid w:val="00440696"/>
    <w:rsid w:val="0044092D"/>
    <w:rsid w:val="00447E2F"/>
    <w:rsid w:val="00452744"/>
    <w:rsid w:val="0045298A"/>
    <w:rsid w:val="00454082"/>
    <w:rsid w:val="00454294"/>
    <w:rsid w:val="00461822"/>
    <w:rsid w:val="00461B7A"/>
    <w:rsid w:val="00465AB9"/>
    <w:rsid w:val="00466829"/>
    <w:rsid w:val="00467A09"/>
    <w:rsid w:val="0047393D"/>
    <w:rsid w:val="00480F70"/>
    <w:rsid w:val="00485382"/>
    <w:rsid w:val="00485F36"/>
    <w:rsid w:val="0048741C"/>
    <w:rsid w:val="00492E59"/>
    <w:rsid w:val="00493FBD"/>
    <w:rsid w:val="00495107"/>
    <w:rsid w:val="00496B6B"/>
    <w:rsid w:val="004A058E"/>
    <w:rsid w:val="004A0F2C"/>
    <w:rsid w:val="004A745F"/>
    <w:rsid w:val="004B139C"/>
    <w:rsid w:val="004B2B8D"/>
    <w:rsid w:val="004B3E31"/>
    <w:rsid w:val="004B4E37"/>
    <w:rsid w:val="004B7CEF"/>
    <w:rsid w:val="004C119A"/>
    <w:rsid w:val="004C38F4"/>
    <w:rsid w:val="004D0AAC"/>
    <w:rsid w:val="004D1E39"/>
    <w:rsid w:val="004D6F29"/>
    <w:rsid w:val="004E5ADB"/>
    <w:rsid w:val="004E66B4"/>
    <w:rsid w:val="004E6F19"/>
    <w:rsid w:val="004F789F"/>
    <w:rsid w:val="005008A7"/>
    <w:rsid w:val="00507A7D"/>
    <w:rsid w:val="00507B11"/>
    <w:rsid w:val="00512889"/>
    <w:rsid w:val="00523926"/>
    <w:rsid w:val="0052526A"/>
    <w:rsid w:val="00525D42"/>
    <w:rsid w:val="00532049"/>
    <w:rsid w:val="0053463C"/>
    <w:rsid w:val="00540736"/>
    <w:rsid w:val="00545B30"/>
    <w:rsid w:val="0055021C"/>
    <w:rsid w:val="0055028F"/>
    <w:rsid w:val="00551086"/>
    <w:rsid w:val="005530D6"/>
    <w:rsid w:val="00553C9E"/>
    <w:rsid w:val="00555947"/>
    <w:rsid w:val="00555F4C"/>
    <w:rsid w:val="00557F82"/>
    <w:rsid w:val="00562D1A"/>
    <w:rsid w:val="0056326F"/>
    <w:rsid w:val="0056741E"/>
    <w:rsid w:val="00567597"/>
    <w:rsid w:val="00567B15"/>
    <w:rsid w:val="00573EB8"/>
    <w:rsid w:val="00574C96"/>
    <w:rsid w:val="00576B07"/>
    <w:rsid w:val="005846F6"/>
    <w:rsid w:val="00586F32"/>
    <w:rsid w:val="005933B6"/>
    <w:rsid w:val="0059797D"/>
    <w:rsid w:val="005A063E"/>
    <w:rsid w:val="005A49F4"/>
    <w:rsid w:val="005A53BD"/>
    <w:rsid w:val="005A7726"/>
    <w:rsid w:val="005B3BE1"/>
    <w:rsid w:val="005B4565"/>
    <w:rsid w:val="005B4CD4"/>
    <w:rsid w:val="005C3980"/>
    <w:rsid w:val="005C3BA2"/>
    <w:rsid w:val="005C7CB3"/>
    <w:rsid w:val="005D5B6A"/>
    <w:rsid w:val="005E18C0"/>
    <w:rsid w:val="005E29DC"/>
    <w:rsid w:val="005E48B5"/>
    <w:rsid w:val="005F036F"/>
    <w:rsid w:val="005F2E0A"/>
    <w:rsid w:val="005F4F72"/>
    <w:rsid w:val="00602220"/>
    <w:rsid w:val="0060578A"/>
    <w:rsid w:val="00607A32"/>
    <w:rsid w:val="0061293C"/>
    <w:rsid w:val="006134C9"/>
    <w:rsid w:val="0061590A"/>
    <w:rsid w:val="00616512"/>
    <w:rsid w:val="00616524"/>
    <w:rsid w:val="00621693"/>
    <w:rsid w:val="006219B3"/>
    <w:rsid w:val="006261CE"/>
    <w:rsid w:val="0063181C"/>
    <w:rsid w:val="00634373"/>
    <w:rsid w:val="006354D4"/>
    <w:rsid w:val="00645B27"/>
    <w:rsid w:val="00647DC5"/>
    <w:rsid w:val="0065020C"/>
    <w:rsid w:val="00660EDE"/>
    <w:rsid w:val="00666091"/>
    <w:rsid w:val="00670E85"/>
    <w:rsid w:val="006729DA"/>
    <w:rsid w:val="0067711A"/>
    <w:rsid w:val="0067793A"/>
    <w:rsid w:val="006800EB"/>
    <w:rsid w:val="0068259D"/>
    <w:rsid w:val="00686813"/>
    <w:rsid w:val="00695666"/>
    <w:rsid w:val="006A433E"/>
    <w:rsid w:val="006B0694"/>
    <w:rsid w:val="006B4F85"/>
    <w:rsid w:val="006C19AE"/>
    <w:rsid w:val="006C7843"/>
    <w:rsid w:val="006D01B5"/>
    <w:rsid w:val="006D19C6"/>
    <w:rsid w:val="006D533E"/>
    <w:rsid w:val="006E4CEA"/>
    <w:rsid w:val="006E6D26"/>
    <w:rsid w:val="006E7113"/>
    <w:rsid w:val="006F4614"/>
    <w:rsid w:val="006F613E"/>
    <w:rsid w:val="00700330"/>
    <w:rsid w:val="00703FF0"/>
    <w:rsid w:val="00707E4D"/>
    <w:rsid w:val="00711466"/>
    <w:rsid w:val="007114ED"/>
    <w:rsid w:val="007129DF"/>
    <w:rsid w:val="00714F14"/>
    <w:rsid w:val="007216A0"/>
    <w:rsid w:val="00726716"/>
    <w:rsid w:val="00730454"/>
    <w:rsid w:val="00732EE5"/>
    <w:rsid w:val="00736502"/>
    <w:rsid w:val="00737164"/>
    <w:rsid w:val="00737753"/>
    <w:rsid w:val="007416BF"/>
    <w:rsid w:val="00742429"/>
    <w:rsid w:val="00743DB3"/>
    <w:rsid w:val="00746368"/>
    <w:rsid w:val="007504CF"/>
    <w:rsid w:val="0075330E"/>
    <w:rsid w:val="00760685"/>
    <w:rsid w:val="007642A7"/>
    <w:rsid w:val="00765A44"/>
    <w:rsid w:val="00767A2F"/>
    <w:rsid w:val="00767DB6"/>
    <w:rsid w:val="00770566"/>
    <w:rsid w:val="007712B2"/>
    <w:rsid w:val="00781BDB"/>
    <w:rsid w:val="0078307D"/>
    <w:rsid w:val="00785A8B"/>
    <w:rsid w:val="00787505"/>
    <w:rsid w:val="00794946"/>
    <w:rsid w:val="007B1E51"/>
    <w:rsid w:val="007B214A"/>
    <w:rsid w:val="007B4197"/>
    <w:rsid w:val="007B476F"/>
    <w:rsid w:val="007B6D31"/>
    <w:rsid w:val="007C207B"/>
    <w:rsid w:val="007D2467"/>
    <w:rsid w:val="007E4BA5"/>
    <w:rsid w:val="007E61C6"/>
    <w:rsid w:val="007E6C85"/>
    <w:rsid w:val="007F02F8"/>
    <w:rsid w:val="007F24F2"/>
    <w:rsid w:val="00800FD4"/>
    <w:rsid w:val="0081561C"/>
    <w:rsid w:val="00816EB4"/>
    <w:rsid w:val="0082123D"/>
    <w:rsid w:val="00823E29"/>
    <w:rsid w:val="008251BB"/>
    <w:rsid w:val="00825E1F"/>
    <w:rsid w:val="00826C6C"/>
    <w:rsid w:val="00833AA0"/>
    <w:rsid w:val="008375FE"/>
    <w:rsid w:val="008400B2"/>
    <w:rsid w:val="0084095B"/>
    <w:rsid w:val="008439A1"/>
    <w:rsid w:val="00847733"/>
    <w:rsid w:val="0085105B"/>
    <w:rsid w:val="008538FD"/>
    <w:rsid w:val="00856332"/>
    <w:rsid w:val="00856DC0"/>
    <w:rsid w:val="00857B3B"/>
    <w:rsid w:val="00872514"/>
    <w:rsid w:val="0087514B"/>
    <w:rsid w:val="00877590"/>
    <w:rsid w:val="00877A48"/>
    <w:rsid w:val="00883F96"/>
    <w:rsid w:val="00893E9A"/>
    <w:rsid w:val="00897294"/>
    <w:rsid w:val="008A5102"/>
    <w:rsid w:val="008B47A5"/>
    <w:rsid w:val="008B53D3"/>
    <w:rsid w:val="008C22CE"/>
    <w:rsid w:val="008C4997"/>
    <w:rsid w:val="008C6886"/>
    <w:rsid w:val="008C6E49"/>
    <w:rsid w:val="008C7C9E"/>
    <w:rsid w:val="008D04FC"/>
    <w:rsid w:val="008D079A"/>
    <w:rsid w:val="008D26A8"/>
    <w:rsid w:val="008D4690"/>
    <w:rsid w:val="008D5F4D"/>
    <w:rsid w:val="008D737D"/>
    <w:rsid w:val="008E1089"/>
    <w:rsid w:val="008E5D9E"/>
    <w:rsid w:val="008F13A2"/>
    <w:rsid w:val="008F15C0"/>
    <w:rsid w:val="008F16D5"/>
    <w:rsid w:val="008F4DAE"/>
    <w:rsid w:val="008F5022"/>
    <w:rsid w:val="009001D1"/>
    <w:rsid w:val="0090273F"/>
    <w:rsid w:val="00902851"/>
    <w:rsid w:val="00903084"/>
    <w:rsid w:val="0090323D"/>
    <w:rsid w:val="00903517"/>
    <w:rsid w:val="00903903"/>
    <w:rsid w:val="00904DDC"/>
    <w:rsid w:val="00905EA4"/>
    <w:rsid w:val="009073EC"/>
    <w:rsid w:val="009154CE"/>
    <w:rsid w:val="00915C84"/>
    <w:rsid w:val="00933199"/>
    <w:rsid w:val="00933EBF"/>
    <w:rsid w:val="00940582"/>
    <w:rsid w:val="0094541B"/>
    <w:rsid w:val="00953022"/>
    <w:rsid w:val="0095782D"/>
    <w:rsid w:val="009604B5"/>
    <w:rsid w:val="009610A8"/>
    <w:rsid w:val="00962A1E"/>
    <w:rsid w:val="00962E1F"/>
    <w:rsid w:val="00967D19"/>
    <w:rsid w:val="009725E9"/>
    <w:rsid w:val="009729F0"/>
    <w:rsid w:val="00980E8E"/>
    <w:rsid w:val="00981D47"/>
    <w:rsid w:val="0098589F"/>
    <w:rsid w:val="00987CE9"/>
    <w:rsid w:val="00992829"/>
    <w:rsid w:val="00994378"/>
    <w:rsid w:val="00996B5D"/>
    <w:rsid w:val="009A249B"/>
    <w:rsid w:val="009A2C1D"/>
    <w:rsid w:val="009A2E89"/>
    <w:rsid w:val="009B2D42"/>
    <w:rsid w:val="009C2060"/>
    <w:rsid w:val="009C33AD"/>
    <w:rsid w:val="009C4F6E"/>
    <w:rsid w:val="009D1338"/>
    <w:rsid w:val="009D6C9A"/>
    <w:rsid w:val="009E070F"/>
    <w:rsid w:val="009E4E4C"/>
    <w:rsid w:val="009E673A"/>
    <w:rsid w:val="009F1B1A"/>
    <w:rsid w:val="009F4DDD"/>
    <w:rsid w:val="009F564F"/>
    <w:rsid w:val="00A00875"/>
    <w:rsid w:val="00A01013"/>
    <w:rsid w:val="00A053E2"/>
    <w:rsid w:val="00A2066C"/>
    <w:rsid w:val="00A20672"/>
    <w:rsid w:val="00A2245B"/>
    <w:rsid w:val="00A226BA"/>
    <w:rsid w:val="00A22DC2"/>
    <w:rsid w:val="00A30314"/>
    <w:rsid w:val="00A31709"/>
    <w:rsid w:val="00A31C5A"/>
    <w:rsid w:val="00A32D2A"/>
    <w:rsid w:val="00A34BE0"/>
    <w:rsid w:val="00A35C4D"/>
    <w:rsid w:val="00A40DDD"/>
    <w:rsid w:val="00A4138C"/>
    <w:rsid w:val="00A4590B"/>
    <w:rsid w:val="00A47EB3"/>
    <w:rsid w:val="00A511AC"/>
    <w:rsid w:val="00A51672"/>
    <w:rsid w:val="00A527CB"/>
    <w:rsid w:val="00A57634"/>
    <w:rsid w:val="00A620AE"/>
    <w:rsid w:val="00A62E63"/>
    <w:rsid w:val="00A71979"/>
    <w:rsid w:val="00A807CD"/>
    <w:rsid w:val="00A8737C"/>
    <w:rsid w:val="00A92941"/>
    <w:rsid w:val="00A94161"/>
    <w:rsid w:val="00AA06DF"/>
    <w:rsid w:val="00AA158F"/>
    <w:rsid w:val="00AA2EC3"/>
    <w:rsid w:val="00AA5F84"/>
    <w:rsid w:val="00AA6CA3"/>
    <w:rsid w:val="00AA7B7D"/>
    <w:rsid w:val="00AB645F"/>
    <w:rsid w:val="00AC3B8D"/>
    <w:rsid w:val="00AD0DB6"/>
    <w:rsid w:val="00AD6E1B"/>
    <w:rsid w:val="00AE0926"/>
    <w:rsid w:val="00AE1C0D"/>
    <w:rsid w:val="00AE6DD4"/>
    <w:rsid w:val="00AF00EE"/>
    <w:rsid w:val="00AF33FD"/>
    <w:rsid w:val="00AF74FF"/>
    <w:rsid w:val="00B135CC"/>
    <w:rsid w:val="00B13ABF"/>
    <w:rsid w:val="00B16CB3"/>
    <w:rsid w:val="00B22752"/>
    <w:rsid w:val="00B24996"/>
    <w:rsid w:val="00B32D13"/>
    <w:rsid w:val="00B36A1C"/>
    <w:rsid w:val="00B4000B"/>
    <w:rsid w:val="00B46677"/>
    <w:rsid w:val="00B50570"/>
    <w:rsid w:val="00B543DC"/>
    <w:rsid w:val="00B563F9"/>
    <w:rsid w:val="00B56715"/>
    <w:rsid w:val="00B575D1"/>
    <w:rsid w:val="00B57D07"/>
    <w:rsid w:val="00B607B9"/>
    <w:rsid w:val="00B6663F"/>
    <w:rsid w:val="00B668A5"/>
    <w:rsid w:val="00B6798B"/>
    <w:rsid w:val="00B701B7"/>
    <w:rsid w:val="00B72995"/>
    <w:rsid w:val="00B836BC"/>
    <w:rsid w:val="00B86683"/>
    <w:rsid w:val="00B86EB6"/>
    <w:rsid w:val="00B91194"/>
    <w:rsid w:val="00B93120"/>
    <w:rsid w:val="00B9723C"/>
    <w:rsid w:val="00BA269D"/>
    <w:rsid w:val="00BA2E2D"/>
    <w:rsid w:val="00BA4039"/>
    <w:rsid w:val="00BB0896"/>
    <w:rsid w:val="00BB38EA"/>
    <w:rsid w:val="00BB4C3B"/>
    <w:rsid w:val="00BB7E00"/>
    <w:rsid w:val="00BC1850"/>
    <w:rsid w:val="00BC2021"/>
    <w:rsid w:val="00BC24A7"/>
    <w:rsid w:val="00BC66CD"/>
    <w:rsid w:val="00BD2628"/>
    <w:rsid w:val="00BD327A"/>
    <w:rsid w:val="00BD5A28"/>
    <w:rsid w:val="00BD5FD4"/>
    <w:rsid w:val="00BD7EA1"/>
    <w:rsid w:val="00BE233D"/>
    <w:rsid w:val="00BE49D0"/>
    <w:rsid w:val="00BE527F"/>
    <w:rsid w:val="00BE7076"/>
    <w:rsid w:val="00BF6090"/>
    <w:rsid w:val="00C00D50"/>
    <w:rsid w:val="00C019BD"/>
    <w:rsid w:val="00C02EBC"/>
    <w:rsid w:val="00C05A69"/>
    <w:rsid w:val="00C13B88"/>
    <w:rsid w:val="00C234EF"/>
    <w:rsid w:val="00C31954"/>
    <w:rsid w:val="00C36254"/>
    <w:rsid w:val="00C3709C"/>
    <w:rsid w:val="00C37573"/>
    <w:rsid w:val="00C40D68"/>
    <w:rsid w:val="00C425BE"/>
    <w:rsid w:val="00C46942"/>
    <w:rsid w:val="00C47659"/>
    <w:rsid w:val="00C55872"/>
    <w:rsid w:val="00C61ABC"/>
    <w:rsid w:val="00C621D9"/>
    <w:rsid w:val="00C62334"/>
    <w:rsid w:val="00C63019"/>
    <w:rsid w:val="00C646EF"/>
    <w:rsid w:val="00C73950"/>
    <w:rsid w:val="00C77A40"/>
    <w:rsid w:val="00C77E99"/>
    <w:rsid w:val="00C855D7"/>
    <w:rsid w:val="00C8604A"/>
    <w:rsid w:val="00C870A8"/>
    <w:rsid w:val="00C92988"/>
    <w:rsid w:val="00C93B48"/>
    <w:rsid w:val="00C96583"/>
    <w:rsid w:val="00CA19E5"/>
    <w:rsid w:val="00CA4625"/>
    <w:rsid w:val="00CB25C1"/>
    <w:rsid w:val="00CB3F56"/>
    <w:rsid w:val="00CB51CD"/>
    <w:rsid w:val="00CB774D"/>
    <w:rsid w:val="00CB7809"/>
    <w:rsid w:val="00CC090B"/>
    <w:rsid w:val="00CC24E6"/>
    <w:rsid w:val="00CC2599"/>
    <w:rsid w:val="00CC2830"/>
    <w:rsid w:val="00CC7859"/>
    <w:rsid w:val="00CD4B3F"/>
    <w:rsid w:val="00CD51C4"/>
    <w:rsid w:val="00CE1274"/>
    <w:rsid w:val="00CE25C0"/>
    <w:rsid w:val="00CE3902"/>
    <w:rsid w:val="00CE3CC5"/>
    <w:rsid w:val="00CF2904"/>
    <w:rsid w:val="00CF4053"/>
    <w:rsid w:val="00CF5BA7"/>
    <w:rsid w:val="00D043A7"/>
    <w:rsid w:val="00D11210"/>
    <w:rsid w:val="00D11E15"/>
    <w:rsid w:val="00D149BE"/>
    <w:rsid w:val="00D158AB"/>
    <w:rsid w:val="00D306F1"/>
    <w:rsid w:val="00D3142C"/>
    <w:rsid w:val="00D32667"/>
    <w:rsid w:val="00D3396C"/>
    <w:rsid w:val="00D35744"/>
    <w:rsid w:val="00D409FC"/>
    <w:rsid w:val="00D42F0E"/>
    <w:rsid w:val="00D46964"/>
    <w:rsid w:val="00D47AEB"/>
    <w:rsid w:val="00D50B43"/>
    <w:rsid w:val="00D52EC2"/>
    <w:rsid w:val="00D56974"/>
    <w:rsid w:val="00D62612"/>
    <w:rsid w:val="00D63279"/>
    <w:rsid w:val="00D65A48"/>
    <w:rsid w:val="00D65A52"/>
    <w:rsid w:val="00D7449E"/>
    <w:rsid w:val="00D76CEE"/>
    <w:rsid w:val="00D77EDD"/>
    <w:rsid w:val="00D8156D"/>
    <w:rsid w:val="00D8311B"/>
    <w:rsid w:val="00D8596F"/>
    <w:rsid w:val="00D86CB4"/>
    <w:rsid w:val="00D91D2D"/>
    <w:rsid w:val="00D95CDB"/>
    <w:rsid w:val="00D97D6B"/>
    <w:rsid w:val="00DA134E"/>
    <w:rsid w:val="00DA1450"/>
    <w:rsid w:val="00DA1645"/>
    <w:rsid w:val="00DA53F1"/>
    <w:rsid w:val="00DB266B"/>
    <w:rsid w:val="00DB79FB"/>
    <w:rsid w:val="00DB7C7C"/>
    <w:rsid w:val="00DC5B4E"/>
    <w:rsid w:val="00DD68FA"/>
    <w:rsid w:val="00DD722B"/>
    <w:rsid w:val="00DE1674"/>
    <w:rsid w:val="00DE5EA9"/>
    <w:rsid w:val="00DF31B9"/>
    <w:rsid w:val="00DF505A"/>
    <w:rsid w:val="00DF688A"/>
    <w:rsid w:val="00DF7B97"/>
    <w:rsid w:val="00E0219A"/>
    <w:rsid w:val="00E047AA"/>
    <w:rsid w:val="00E0598E"/>
    <w:rsid w:val="00E05C6E"/>
    <w:rsid w:val="00E06AA2"/>
    <w:rsid w:val="00E0701A"/>
    <w:rsid w:val="00E23BDB"/>
    <w:rsid w:val="00E243D5"/>
    <w:rsid w:val="00E25AD0"/>
    <w:rsid w:val="00E32B85"/>
    <w:rsid w:val="00E33F11"/>
    <w:rsid w:val="00E357B7"/>
    <w:rsid w:val="00E3580F"/>
    <w:rsid w:val="00E36637"/>
    <w:rsid w:val="00E4126B"/>
    <w:rsid w:val="00E414A0"/>
    <w:rsid w:val="00E42283"/>
    <w:rsid w:val="00E44738"/>
    <w:rsid w:val="00E46B29"/>
    <w:rsid w:val="00E51F7B"/>
    <w:rsid w:val="00E5274E"/>
    <w:rsid w:val="00E56C96"/>
    <w:rsid w:val="00E56D8D"/>
    <w:rsid w:val="00E5751C"/>
    <w:rsid w:val="00E5758C"/>
    <w:rsid w:val="00E61BA0"/>
    <w:rsid w:val="00E659EB"/>
    <w:rsid w:val="00E71354"/>
    <w:rsid w:val="00E73A25"/>
    <w:rsid w:val="00E811A9"/>
    <w:rsid w:val="00E851CE"/>
    <w:rsid w:val="00E8612F"/>
    <w:rsid w:val="00E868EB"/>
    <w:rsid w:val="00E945D6"/>
    <w:rsid w:val="00EA0F9C"/>
    <w:rsid w:val="00EA6100"/>
    <w:rsid w:val="00EA64B6"/>
    <w:rsid w:val="00EA75B3"/>
    <w:rsid w:val="00EB4621"/>
    <w:rsid w:val="00EB7DE5"/>
    <w:rsid w:val="00EC51F1"/>
    <w:rsid w:val="00ED3AC9"/>
    <w:rsid w:val="00ED4AA6"/>
    <w:rsid w:val="00EE03D0"/>
    <w:rsid w:val="00EE1580"/>
    <w:rsid w:val="00EE56BA"/>
    <w:rsid w:val="00EE5E91"/>
    <w:rsid w:val="00EE63B3"/>
    <w:rsid w:val="00EF077F"/>
    <w:rsid w:val="00EF1179"/>
    <w:rsid w:val="00EF5B58"/>
    <w:rsid w:val="00F01234"/>
    <w:rsid w:val="00F02FCA"/>
    <w:rsid w:val="00F03B2F"/>
    <w:rsid w:val="00F05A6D"/>
    <w:rsid w:val="00F1417A"/>
    <w:rsid w:val="00F2251A"/>
    <w:rsid w:val="00F2768E"/>
    <w:rsid w:val="00F302B6"/>
    <w:rsid w:val="00F308C4"/>
    <w:rsid w:val="00F42426"/>
    <w:rsid w:val="00F42726"/>
    <w:rsid w:val="00F459C9"/>
    <w:rsid w:val="00F45DD7"/>
    <w:rsid w:val="00F57592"/>
    <w:rsid w:val="00F6384B"/>
    <w:rsid w:val="00F65D99"/>
    <w:rsid w:val="00F665BD"/>
    <w:rsid w:val="00F708BB"/>
    <w:rsid w:val="00F72145"/>
    <w:rsid w:val="00F72769"/>
    <w:rsid w:val="00F73DF0"/>
    <w:rsid w:val="00F77B16"/>
    <w:rsid w:val="00F8059C"/>
    <w:rsid w:val="00F90DB5"/>
    <w:rsid w:val="00F92409"/>
    <w:rsid w:val="00F97B18"/>
    <w:rsid w:val="00FA0354"/>
    <w:rsid w:val="00FA0A05"/>
    <w:rsid w:val="00FA6427"/>
    <w:rsid w:val="00FA753B"/>
    <w:rsid w:val="00FB1FB9"/>
    <w:rsid w:val="00FB3377"/>
    <w:rsid w:val="00FB5955"/>
    <w:rsid w:val="00FB77A7"/>
    <w:rsid w:val="00FC05D3"/>
    <w:rsid w:val="00FC3833"/>
    <w:rsid w:val="00FC54A1"/>
    <w:rsid w:val="00FC56B7"/>
    <w:rsid w:val="00FC5980"/>
    <w:rsid w:val="00FC5ED3"/>
    <w:rsid w:val="00FC7DE5"/>
    <w:rsid w:val="00FD05E4"/>
    <w:rsid w:val="00FD7B01"/>
    <w:rsid w:val="00FE0915"/>
    <w:rsid w:val="00FE4143"/>
    <w:rsid w:val="00FE65EC"/>
    <w:rsid w:val="00FE718C"/>
    <w:rsid w:val="00FF52BE"/>
    <w:rsid w:val="00FF539C"/>
    <w:rsid w:val="451660D5"/>
    <w:rsid w:val="54D84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7D"/>
    <w:pPr>
      <w:widowControl w:val="0"/>
      <w:jc w:val="both"/>
    </w:pPr>
    <w:rPr>
      <w:szCs w:val="21"/>
    </w:rPr>
  </w:style>
  <w:style w:type="paragraph" w:styleId="Heading1">
    <w:name w:val="heading 1"/>
    <w:basedOn w:val="Normal"/>
    <w:next w:val="Normal"/>
    <w:link w:val="Heading1Char"/>
    <w:uiPriority w:val="99"/>
    <w:qFormat/>
    <w:rsid w:val="00DF7B97"/>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B97"/>
    <w:rPr>
      <w:b/>
      <w:bCs/>
      <w:kern w:val="44"/>
      <w:sz w:val="44"/>
      <w:szCs w:val="44"/>
    </w:rPr>
  </w:style>
  <w:style w:type="paragraph" w:styleId="CommentText">
    <w:name w:val="annotation text"/>
    <w:basedOn w:val="Normal"/>
    <w:link w:val="CommentTextChar"/>
    <w:uiPriority w:val="99"/>
    <w:semiHidden/>
    <w:rsid w:val="003E1F7D"/>
    <w:rPr>
      <w:sz w:val="20"/>
      <w:szCs w:val="20"/>
    </w:rPr>
  </w:style>
  <w:style w:type="character" w:customStyle="1" w:styleId="CommentTextChar">
    <w:name w:val="Comment Text Char"/>
    <w:basedOn w:val="DefaultParagraphFont"/>
    <w:link w:val="CommentText"/>
    <w:uiPriority w:val="99"/>
    <w:locked/>
    <w:rsid w:val="003E1F7D"/>
    <w:rPr>
      <w:kern w:val="2"/>
      <w:lang w:val="en-US"/>
    </w:rPr>
  </w:style>
  <w:style w:type="paragraph" w:styleId="CommentSubject">
    <w:name w:val="annotation subject"/>
    <w:basedOn w:val="CommentText"/>
    <w:next w:val="CommentText"/>
    <w:link w:val="CommentSubjectChar"/>
    <w:uiPriority w:val="99"/>
    <w:semiHidden/>
    <w:rsid w:val="003E1F7D"/>
    <w:rPr>
      <w:b/>
      <w:bCs/>
    </w:rPr>
  </w:style>
  <w:style w:type="character" w:customStyle="1" w:styleId="CommentSubjectChar">
    <w:name w:val="Comment Subject Char"/>
    <w:basedOn w:val="CommentTextChar"/>
    <w:link w:val="CommentSubject"/>
    <w:uiPriority w:val="99"/>
    <w:locked/>
    <w:rsid w:val="003E1F7D"/>
    <w:rPr>
      <w:b/>
      <w:bCs/>
    </w:rPr>
  </w:style>
  <w:style w:type="paragraph" w:styleId="DocumentMap">
    <w:name w:val="Document Map"/>
    <w:basedOn w:val="Normal"/>
    <w:link w:val="DocumentMapChar"/>
    <w:uiPriority w:val="99"/>
    <w:semiHidden/>
    <w:rsid w:val="003E1F7D"/>
    <w:rPr>
      <w:rFonts w:ascii="宋体" w:cs="宋体"/>
      <w:sz w:val="18"/>
      <w:szCs w:val="18"/>
    </w:rPr>
  </w:style>
  <w:style w:type="character" w:customStyle="1" w:styleId="DocumentMapChar">
    <w:name w:val="Document Map Char"/>
    <w:basedOn w:val="DefaultParagraphFont"/>
    <w:link w:val="DocumentMap"/>
    <w:uiPriority w:val="99"/>
    <w:locked/>
    <w:rsid w:val="003E1F7D"/>
    <w:rPr>
      <w:rFonts w:ascii="宋体" w:cs="宋体"/>
      <w:kern w:val="2"/>
      <w:sz w:val="18"/>
      <w:szCs w:val="18"/>
    </w:rPr>
  </w:style>
  <w:style w:type="paragraph" w:styleId="BalloonText">
    <w:name w:val="Balloon Text"/>
    <w:basedOn w:val="Normal"/>
    <w:link w:val="BalloonTextChar"/>
    <w:uiPriority w:val="99"/>
    <w:semiHidden/>
    <w:rsid w:val="003E1F7D"/>
    <w:rPr>
      <w:rFonts w:ascii="Tahoma" w:hAnsi="Tahoma" w:cs="Tahoma"/>
      <w:sz w:val="16"/>
      <w:szCs w:val="16"/>
    </w:rPr>
  </w:style>
  <w:style w:type="character" w:customStyle="1" w:styleId="BalloonTextChar">
    <w:name w:val="Balloon Text Char"/>
    <w:basedOn w:val="DefaultParagraphFont"/>
    <w:link w:val="BalloonText"/>
    <w:uiPriority w:val="99"/>
    <w:locked/>
    <w:rsid w:val="003E1F7D"/>
    <w:rPr>
      <w:rFonts w:ascii="Tahoma" w:hAnsi="Tahoma" w:cs="Tahoma"/>
      <w:kern w:val="2"/>
      <w:sz w:val="16"/>
      <w:szCs w:val="16"/>
      <w:lang w:val="en-US"/>
    </w:rPr>
  </w:style>
  <w:style w:type="paragraph" w:styleId="Footer">
    <w:name w:val="footer"/>
    <w:basedOn w:val="Normal"/>
    <w:link w:val="FooterChar"/>
    <w:uiPriority w:val="99"/>
    <w:rsid w:val="003E1F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7B18"/>
    <w:rPr>
      <w:kern w:val="2"/>
      <w:sz w:val="18"/>
      <w:szCs w:val="18"/>
    </w:rPr>
  </w:style>
  <w:style w:type="paragraph" w:styleId="Header">
    <w:name w:val="header"/>
    <w:basedOn w:val="Normal"/>
    <w:link w:val="HeaderChar"/>
    <w:uiPriority w:val="99"/>
    <w:rsid w:val="003E1F7D"/>
    <w:pPr>
      <w:tabs>
        <w:tab w:val="center" w:pos="4153"/>
        <w:tab w:val="right" w:pos="8306"/>
      </w:tabs>
    </w:pPr>
  </w:style>
  <w:style w:type="character" w:customStyle="1" w:styleId="HeaderChar">
    <w:name w:val="Header Char"/>
    <w:basedOn w:val="DefaultParagraphFont"/>
    <w:link w:val="Header"/>
    <w:uiPriority w:val="99"/>
    <w:locked/>
    <w:rsid w:val="003E1F7D"/>
    <w:rPr>
      <w:kern w:val="2"/>
      <w:sz w:val="24"/>
      <w:szCs w:val="24"/>
      <w:lang w:val="en-US"/>
    </w:rPr>
  </w:style>
  <w:style w:type="character" w:styleId="PageNumber">
    <w:name w:val="page number"/>
    <w:basedOn w:val="DefaultParagraphFont"/>
    <w:uiPriority w:val="99"/>
    <w:rsid w:val="003E1F7D"/>
  </w:style>
  <w:style w:type="character" w:styleId="Emphasis">
    <w:name w:val="Emphasis"/>
    <w:basedOn w:val="DefaultParagraphFont"/>
    <w:uiPriority w:val="99"/>
    <w:qFormat/>
    <w:rsid w:val="003E1F7D"/>
    <w:rPr>
      <w:i/>
      <w:iCs/>
    </w:rPr>
  </w:style>
  <w:style w:type="character" w:styleId="CommentReference">
    <w:name w:val="annotation reference"/>
    <w:basedOn w:val="DefaultParagraphFont"/>
    <w:uiPriority w:val="99"/>
    <w:semiHidden/>
    <w:rsid w:val="003E1F7D"/>
    <w:rPr>
      <w:sz w:val="16"/>
      <w:szCs w:val="16"/>
    </w:rPr>
  </w:style>
  <w:style w:type="paragraph" w:customStyle="1" w:styleId="1">
    <w:name w:val="列出段落1"/>
    <w:basedOn w:val="Normal"/>
    <w:uiPriority w:val="99"/>
    <w:rsid w:val="003E1F7D"/>
    <w:pPr>
      <w:ind w:firstLineChars="200" w:firstLine="420"/>
    </w:pPr>
    <w:rPr>
      <w:rFonts w:ascii="Calibri" w:hAnsi="Calibri" w:cs="Calibri"/>
    </w:rPr>
  </w:style>
  <w:style w:type="paragraph" w:styleId="ListParagraph">
    <w:name w:val="List Paragraph"/>
    <w:basedOn w:val="Normal"/>
    <w:uiPriority w:val="99"/>
    <w:qFormat/>
    <w:rsid w:val="006B4F8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8</Pages>
  <Words>487</Words>
  <Characters>2781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中评协〔2013〕171号</dc:title>
  <dc:subject/>
  <dc:creator>Lenovo User</dc:creator>
  <cp:keywords/>
  <dc:description/>
  <cp:lastModifiedBy>Lenovo User</cp:lastModifiedBy>
  <cp:revision>17</cp:revision>
  <cp:lastPrinted>2019-01-15T09:30:00Z</cp:lastPrinted>
  <dcterms:created xsi:type="dcterms:W3CDTF">2019-01-14T00:58:00Z</dcterms:created>
  <dcterms:modified xsi:type="dcterms:W3CDTF">2019-01-15T09:31:00Z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